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header9.xml" ContentType="application/vnd.openxmlformats-officedocument.wordprocessingml.head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1"/>
        <w:widowControl w:val="false"/>
        <w:bidi w:val="0"/>
        <w:ind w:left="5272"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>
      <w:pPr>
        <w:pStyle w:val="11"/>
        <w:widowControl w:val="false"/>
        <w:bidi w:val="0"/>
        <w:ind w:left="5272" w:right="0" w:hanging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widowControl w:val="false"/>
        <w:bidi w:val="0"/>
        <w:ind w:left="5272"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>
      <w:pPr>
        <w:pStyle w:val="11"/>
        <w:widowControl w:val="false"/>
        <w:tabs>
          <w:tab w:val="clear" w:pos="708"/>
          <w:tab w:val="left" w:pos="5246" w:leader="none"/>
        </w:tabs>
        <w:bidi w:val="0"/>
        <w:ind w:left="5272" w:right="0" w:hanging="0"/>
        <w:jc w:val="left"/>
        <w:rPr/>
      </w:pPr>
      <w:r>
        <w:rPr>
          <w:sz w:val="28"/>
          <w:szCs w:val="28"/>
        </w:rPr>
        <w:t xml:space="preserve">постановлением администрации муниципального образования Туапсинский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муниципальный округ Краснодарского края</w:t>
      </w:r>
      <w:r>
        <w:rPr>
          <w:sz w:val="28"/>
          <w:szCs w:val="28"/>
        </w:rPr>
        <w:t xml:space="preserve"> </w:t>
      </w:r>
    </w:p>
    <w:p>
      <w:pPr>
        <w:pStyle w:val="11"/>
        <w:widowControl w:val="false"/>
        <w:tabs>
          <w:tab w:val="clear" w:pos="708"/>
          <w:tab w:val="left" w:pos="5246" w:leader="none"/>
        </w:tabs>
        <w:bidi w:val="0"/>
        <w:ind w:left="5272" w:right="0" w:hanging="0"/>
        <w:jc w:val="left"/>
        <w:rPr/>
      </w:pPr>
      <w:r>
        <w:rPr>
          <w:sz w:val="28"/>
          <w:szCs w:val="28"/>
        </w:rPr>
        <w:t>от _____________№ __________</w:t>
      </w:r>
    </w:p>
    <w:p>
      <w:pPr>
        <w:pStyle w:val="23"/>
        <w:keepNext w:val="true"/>
        <w:keepLines/>
        <w:spacing w:before="0" w:after="0"/>
        <w:rPr/>
      </w:pPr>
      <w:r>
        <w:rPr/>
      </w:r>
    </w:p>
    <w:p>
      <w:pPr>
        <w:pStyle w:val="23"/>
        <w:keepNext w:val="true"/>
        <w:keepLines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3"/>
        <w:keepNext w:val="true"/>
        <w:keepLines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3"/>
        <w:keepNext w:val="true"/>
        <w:keepLines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3"/>
        <w:keepNext w:val="true"/>
        <w:keepLines/>
        <w:spacing w:before="0" w:after="0"/>
        <w:rPr>
          <w:sz w:val="28"/>
          <w:szCs w:val="28"/>
        </w:rPr>
      </w:pPr>
      <w:bookmarkStart w:id="0" w:name="bookmark2"/>
      <w:r>
        <w:rPr>
          <w:sz w:val="28"/>
          <w:szCs w:val="28"/>
        </w:rPr>
        <w:t>МЕТОДИКА</w:t>
      </w:r>
      <w:bookmarkEnd w:id="0"/>
    </w:p>
    <w:p>
      <w:pPr>
        <w:pStyle w:val="11"/>
        <w:ind w:hanging="0"/>
        <w:jc w:val="center"/>
        <w:rPr/>
      </w:pPr>
      <w:r>
        <w:rPr>
          <w:b/>
          <w:sz w:val="28"/>
          <w:szCs w:val="28"/>
        </w:rPr>
        <w:t xml:space="preserve">оценки эффективности использования средств бюджета </w:t>
      </w:r>
    </w:p>
    <w:p>
      <w:pPr>
        <w:pStyle w:val="11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Туапсинский </w:t>
      </w:r>
      <w:r>
        <w:rPr>
          <w:rFonts w:eastAsia="Times New Roman" w:cs="Times New Roman"/>
          <w:b/>
          <w:color w:val="auto"/>
          <w:sz w:val="28"/>
          <w:szCs w:val="28"/>
          <w:lang w:eastAsia="en-US" w:bidi="ar-SA"/>
        </w:rPr>
        <w:t>муниципальный округ</w:t>
      </w:r>
      <w:r>
        <w:rPr>
          <w:b/>
          <w:sz w:val="28"/>
          <w:szCs w:val="28"/>
        </w:rPr>
        <w:t xml:space="preserve">, направляемых </w:t>
      </w:r>
    </w:p>
    <w:p>
      <w:pPr>
        <w:pStyle w:val="11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на капитальные вложения</w:t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3"/>
        <w:keepNext w:val="true"/>
        <w:keepLines/>
        <w:numPr>
          <w:ilvl w:val="0"/>
          <w:numId w:val="1"/>
        </w:numPr>
        <w:tabs>
          <w:tab w:val="clear" w:pos="708"/>
          <w:tab w:val="left" w:pos="255" w:leader="none"/>
        </w:tabs>
        <w:spacing w:before="0" w:after="220"/>
        <w:rPr>
          <w:b w:val="false"/>
          <w:b w:val="false"/>
          <w:sz w:val="28"/>
          <w:szCs w:val="28"/>
        </w:rPr>
      </w:pPr>
      <w:bookmarkStart w:id="1" w:name="bookmark4"/>
      <w:r>
        <w:rPr>
          <w:b w:val="false"/>
          <w:sz w:val="28"/>
          <w:szCs w:val="28"/>
        </w:rPr>
        <w:t>Общие положения</w:t>
      </w:r>
      <w:bookmarkEnd w:id="1"/>
    </w:p>
    <w:p>
      <w:pPr>
        <w:pStyle w:val="11"/>
        <w:numPr>
          <w:ilvl w:val="1"/>
          <w:numId w:val="1"/>
        </w:numPr>
        <w:tabs>
          <w:tab w:val="clear" w:pos="708"/>
          <w:tab w:val="left" w:pos="1134" w:leader="none"/>
        </w:tabs>
        <w:ind w:firstLine="709"/>
        <w:jc w:val="both"/>
        <w:rPr/>
      </w:pPr>
      <w:r>
        <w:rPr>
          <w:sz w:val="28"/>
          <w:szCs w:val="28"/>
        </w:rPr>
        <w:t> </w:t>
      </w:r>
      <w:r>
        <w:rPr>
          <w:sz w:val="28"/>
          <w:szCs w:val="28"/>
        </w:rPr>
        <w:t>Настоящая Методика предназначена для оценки эффективности использования средств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направляемых на капитальные вложения (далее - оценка эффективности), по инвестиционным проектам, предусматривающим строительство, реконструкцию, в том числе с элементами реставрации, техническое перевооружение объектов капитального строительства, приобретение объектов недвижимого имущества и (или) осуществление иных инвестиций в основной капитал, финансовое обеспечение которых планируется осуществлять полностью или частично за счет средств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.</w:t>
      </w:r>
    </w:p>
    <w:p>
      <w:pPr>
        <w:pStyle w:val="11"/>
        <w:numPr>
          <w:ilvl w:val="1"/>
          <w:numId w:val="1"/>
        </w:numPr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>Оценка эффективности осуществляется на основе интегральной оценки эффективности, а также оценки эффективности на основе качественных и количественных критериев путем определения балла оценки по каждому из указанных критериев.</w:t>
      </w:r>
    </w:p>
    <w:p>
      <w:pPr>
        <w:pStyle w:val="11"/>
        <w:numPr>
          <w:ilvl w:val="1"/>
          <w:numId w:val="1"/>
        </w:numPr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>Настоящая Методика устанавливает общие требования к расчету интегральной оценки эффективности, а также расчету оценки эффективности на основе качественных и количественных критериев.</w:t>
      </w:r>
    </w:p>
    <w:p>
      <w:pPr>
        <w:pStyle w:val="11"/>
        <w:tabs>
          <w:tab w:val="clear" w:pos="708"/>
          <w:tab w:val="left" w:pos="838" w:leader="none"/>
        </w:tabs>
        <w:ind w:left="40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numPr>
          <w:ilvl w:val="0"/>
          <w:numId w:val="1"/>
        </w:numPr>
        <w:tabs>
          <w:tab w:val="clear" w:pos="708"/>
          <w:tab w:val="left" w:pos="438" w:leader="none"/>
        </w:tabs>
        <w:ind w:hanging="0"/>
        <w:jc w:val="center"/>
        <w:rPr/>
      </w:pPr>
      <w:r>
        <w:rPr>
          <w:bCs/>
          <w:sz w:val="28"/>
          <w:szCs w:val="28"/>
        </w:rPr>
        <w:t>Состав, порядок определения баллов оценки</w:t>
        <w:br/>
        <w:t>качественных критериев и оценки эффективности</w:t>
        <w:br/>
        <w:t>на основе качественных критериев</w:t>
      </w:r>
    </w:p>
    <w:p>
      <w:pPr>
        <w:pStyle w:val="11"/>
        <w:tabs>
          <w:tab w:val="clear" w:pos="708"/>
          <w:tab w:val="left" w:pos="438" w:leader="none"/>
        </w:tabs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numPr>
          <w:ilvl w:val="1"/>
          <w:numId w:val="1"/>
        </w:numPr>
        <w:tabs>
          <w:tab w:val="clear" w:pos="708"/>
          <w:tab w:val="left" w:pos="1134" w:leader="none"/>
        </w:tabs>
        <w:spacing w:before="0" w:after="2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>Оценка эффективности осуществляется на основе качественных критериев, предусмотренных пунктом 2.1 Правил проведения проверки инвестиционных проектов на предмет эффективности использования средств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направляемых на капитальные вложения, утвержденных настоящим постановлением.</w:t>
      </w:r>
    </w:p>
    <w:p>
      <w:pPr>
        <w:pStyle w:val="11"/>
        <w:numPr>
          <w:ilvl w:val="1"/>
          <w:numId w:val="1"/>
        </w:numPr>
        <w:tabs>
          <w:tab w:val="clear" w:pos="708"/>
          <w:tab w:val="left" w:pos="1134" w:leader="none"/>
        </w:tabs>
        <w:spacing w:before="0" w:after="2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>Оценка эффективности на основе качественных критериев рассчитывается по следующей формуле:</w:t>
      </w:r>
    </w:p>
    <w:p>
      <w:pPr>
        <w:pStyle w:val="11"/>
        <w:tabs>
          <w:tab w:val="clear" w:pos="708"/>
          <w:tab w:val="left" w:pos="645" w:leader="none"/>
        </w:tabs>
        <w:ind w:firstLine="709"/>
        <w:jc w:val="both"/>
        <w:rPr>
          <w:i/>
          <w:i/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Э</m:t>
            </m:r>
          </m:e>
          <m:sub>
            <m:r>
              <w:rPr>
                <w:rFonts w:ascii="Cambria Math" w:hAnsi="Cambria Math"/>
              </w:rPr>
              <m:t xml:space="preserve">кач</m:t>
            </m:r>
          </m:sub>
        </m:sSub>
        <m:r>
          <w:rPr>
            <w:rFonts w:ascii="Cambria Math" w:hAnsi="Cambria Math"/>
          </w:rPr>
          <m:t xml:space="preserve">=</m:t>
        </m:r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i</m:t>
            </m:r>
          </m:sup>
          <m:e>
            <m:sSub>
              <m:e>
                <m:r>
                  <w:rPr>
                    <w:rFonts w:ascii="Cambria Math" w:hAnsi="Cambria Math"/>
                  </w:rPr>
                  <m:t xml:space="preserve">Б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</m:e>
        </m:nary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100</m:t>
        </m:r>
        <m:r>
          <m:rPr>
            <m:lit/>
            <m:nor/>
          </m:rPr>
          <w:rPr>
            <w:rFonts w:ascii="Cambria Math" w:hAnsi="Cambria Math"/>
          </w:rPr>
          <m:t xml:space="preserve">%</m:t>
        </m:r>
        <m:r>
          <w:rPr>
            <w:rFonts w:ascii="Cambria Math" w:hAnsi="Cambria Math"/>
          </w:rPr>
          <m:t xml:space="preserve">÷</m:t>
        </m:r>
        <m:d>
          <m:dPr>
            <m:begChr m:val="("/>
            <m:endChr m:val=")"/>
          </m:dPr>
          <m:e>
            <m:sSub>
              <m:e>
                <m:r>
                  <w:rPr>
                    <w:rFonts w:ascii="Cambria Math" w:hAnsi="Cambria Math"/>
                  </w:rPr>
                  <m:t xml:space="preserve">K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  <m:r>
              <w:rPr>
                <w:rFonts w:ascii="Cambria Math" w:hAnsi="Cambria Math"/>
              </w:rPr>
              <m:t xml:space="preserve">−</m:t>
            </m:r>
            <m:sSub>
              <m:e>
                <m:r>
                  <w:rPr>
                    <w:rFonts w:ascii="Cambria Math" w:hAnsi="Cambria Math"/>
                  </w:rPr>
                  <m:t xml:space="preserve">K</m:t>
                </m:r>
              </m:e>
              <m:sub>
                <m:r>
                  <w:rPr>
                    <w:rFonts w:ascii="Cambria Math" w:hAnsi="Cambria Math"/>
                  </w:rPr>
                  <m:t xml:space="preserve">нп</m:t>
                </m:r>
              </m:sub>
            </m:sSub>
          </m:e>
        </m:d>
        <m:r>
          <w:rPr>
            <w:rFonts w:ascii="Cambria Math" w:hAnsi="Cambria Math"/>
          </w:rPr>
          <m:t xml:space="preserve">,</m:t>
        </m:r>
        <m:r>
          <w:rPr>
            <w:rFonts w:ascii="Cambria Math" w:hAnsi="Cambria Math"/>
          </w:rPr>
          <m:t xml:space="preserve">где</m:t>
        </m:r>
      </m:oMath>
    </w:p>
    <w:p>
      <w:pPr>
        <w:pStyle w:val="11"/>
        <w:tabs>
          <w:tab w:val="clear" w:pos="708"/>
          <w:tab w:val="left" w:pos="645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tabs>
          <w:tab w:val="clear" w:pos="708"/>
          <w:tab w:val="left" w:pos="645" w:leader="none"/>
        </w:tabs>
        <w:ind w:firstLine="709"/>
        <w:jc w:val="both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Э</m:t>
            </m:r>
          </m:e>
          <m:sub>
            <m:r>
              <w:rPr>
                <w:rFonts w:ascii="Cambria Math" w:hAnsi="Cambria Math"/>
              </w:rPr>
              <m:t xml:space="preserve">кач</m:t>
            </m:r>
          </m:sub>
        </m:sSub>
      </m:oMath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 эффективность на основе качественных критериев;</w:t>
      </w:r>
    </w:p>
    <w:p>
      <w:pPr>
        <w:pStyle w:val="11"/>
        <w:tabs>
          <w:tab w:val="clear" w:pos="708"/>
          <w:tab w:val="left" w:pos="645" w:leader="none"/>
        </w:tabs>
        <w:ind w:firstLine="709"/>
        <w:jc w:val="both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Б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 балл оценки </w:t>
      </w:r>
      <w:r>
        <w:rPr>
          <w:sz w:val="28"/>
          <w:szCs w:val="28"/>
          <w:lang w:val="en-US" w:bidi="en-US"/>
        </w:rPr>
        <w:t>i</w:t>
      </w:r>
      <w:r>
        <w:rPr>
          <w:sz w:val="28"/>
          <w:szCs w:val="28"/>
          <w:lang w:bidi="en-US"/>
        </w:rPr>
        <w:t xml:space="preserve">-го </w:t>
      </w:r>
      <w:r>
        <w:rPr>
          <w:sz w:val="28"/>
          <w:szCs w:val="28"/>
        </w:rPr>
        <w:t>качественного критерия;</w:t>
      </w:r>
    </w:p>
    <w:p>
      <w:pPr>
        <w:pStyle w:val="11"/>
        <w:tabs>
          <w:tab w:val="clear" w:pos="708"/>
          <w:tab w:val="left" w:pos="630" w:leader="none"/>
        </w:tabs>
        <w:ind w:firstLine="709"/>
        <w:jc w:val="both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  общее количество качественных критериев;</w:t>
      </w:r>
    </w:p>
    <w:p>
      <w:pPr>
        <w:pStyle w:val="11"/>
        <w:tabs>
          <w:tab w:val="clear" w:pos="708"/>
          <w:tab w:val="left" w:pos="894" w:leader="none"/>
        </w:tabs>
        <w:ind w:firstLine="709"/>
        <w:jc w:val="both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нп</m:t>
            </m:r>
          </m:sub>
        </m:sSub>
      </m:oMath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количество критериев, не применимых к проверяемому инвестиционному проекту.</w:t>
        <w:tab/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Требования к определению баллов оценки по каждому из качественных критериев установлены пунктами 2.4 - 2.13 настоящей Методики.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Возможные значения баллов оценки по каждому из качественных критериев приведены в графе «Допустимые баллы оценки» таблицы 1 приложения 1 к настоящей Методике.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Инвестиционные проекты, соответствующие качественным критериям (оценка эффективности на основе качественных критериев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Э</m:t>
            </m:r>
          </m:e>
          <m:sub>
            <m:r>
              <w:rPr>
                <w:rFonts w:ascii="Cambria Math" w:hAnsi="Cambria Math"/>
              </w:rPr>
              <m:t xml:space="preserve">кач</m:t>
            </m:r>
          </m:sub>
        </m:sSub>
      </m:oMath>
      <w:r>
        <w:rPr>
          <w:sz w:val="28"/>
          <w:szCs w:val="28"/>
        </w:rPr>
        <w:t>, рассчитанная в соответствии с пунктом 2.2 настоящей Методики, равняется 100 процентам), подлежат дальнейшей проверке на соответствие количественным критериям.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Инвестиционные проекты, не соответствующие качественным критериям, не подлежат проверке на соответствие количественным критериям и проверке правильности расчета заявителем интегральной оценки этого проекта и возвращаются заявителю.</w:t>
      </w:r>
    </w:p>
    <w:p>
      <w:pPr>
        <w:pStyle w:val="11"/>
        <w:numPr>
          <w:ilvl w:val="1"/>
          <w:numId w:val="18"/>
        </w:numPr>
        <w:tabs>
          <w:tab w:val="clear" w:pos="708"/>
          <w:tab w:val="left" w:pos="1276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наличие четко сформулированной цели инвестиционного проекта с определением количественного показателя (показателей) результатов его осуществления.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1, присваивается инвестиционному проекту, если в паспорте инвестиционного проекта и обосновании экономической целесообразности, объема и сроков осуществления капитальных вложений дана четкая формулировка конечных социально-экономических результатов реализации инвестиционного проекта и определены характеризующие их количественные показатели (показатель).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Конечные социально-экономические результаты реализации инвестиционного проекта - эффект для потребителей, населения, получаемый от товаров, работ или услуг, произведенных после реализации инвестиционного проекта. Например, снижение уровня загрязнения окружающей среды, повышение уровня обеспеченности населения медицинскими услугами, услугами образования.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показатели, характеризующие конечные социально- экономические результаты реализации проекта по различным видам деятельности и типам проектов, приведены в приложении 3 к настоящей Методике.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Приведенный перечень количественных показателей не является исчерпывающим. С учетом специфики инвестиционного проекта могут быть определены иные показатели, характеризующие конечный результат реализации инвестиционного проекта.</w:t>
      </w:r>
    </w:p>
    <w:p>
      <w:pPr>
        <w:pStyle w:val="11"/>
        <w:numPr>
          <w:ilvl w:val="1"/>
          <w:numId w:val="18"/>
        </w:numPr>
        <w:tabs>
          <w:tab w:val="clear" w:pos="708"/>
          <w:tab w:val="left" w:pos="1276" w:leader="none"/>
        </w:tabs>
        <w:ind w:left="0" w:firstLine="709"/>
        <w:jc w:val="both"/>
        <w:rPr/>
      </w:pPr>
      <w:r>
        <w:rPr>
          <w:sz w:val="28"/>
          <w:szCs w:val="28"/>
        </w:rPr>
        <w:t>Критерий - соответствие цели инвестиционного проекта приоритетам и целям, определенным в Стратегии социально-экономического развития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целям и задачам, определенным в соответствующей муниципальной программе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1, присваивается инвестиционному проекту, если цель инвестиционного проекта соответствует одному из приоритетов и целей в указанных документах. Для обоснования оценки приводится формулировка цели со ссылкой на соответствующий документ.</w:t>
      </w:r>
    </w:p>
    <w:p>
      <w:pPr>
        <w:pStyle w:val="11"/>
        <w:numPr>
          <w:ilvl w:val="1"/>
          <w:numId w:val="18"/>
        </w:numPr>
        <w:tabs>
          <w:tab w:val="clear" w:pos="708"/>
          <w:tab w:val="left" w:pos="1288" w:leader="none"/>
        </w:tabs>
        <w:ind w:left="0" w:firstLine="709"/>
        <w:jc w:val="both"/>
        <w:rPr/>
      </w:pPr>
      <w:r>
        <w:rPr>
          <w:sz w:val="28"/>
          <w:szCs w:val="28"/>
        </w:rPr>
        <w:t>Критерий - комплексный подход к решению конкретной проблемы в рамках инвестиционного проекта во взаимосвязи с мероприятиями соответствующих муниципальных программ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Обоснованием комплексного подхода к решению конкретной проблемы в рамках инвестиционного проекта (балл, равный 1) являются: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/>
      </w:pPr>
      <w:r>
        <w:rPr>
          <w:sz w:val="28"/>
          <w:szCs w:val="28"/>
        </w:rPr>
        <w:t>1) для инвестиционных проектов, реализуемых в рамках достижения цели одной из указанных программ, - соответствие цели инвестиционного проекта задаче мероприятия муниципальной программы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решение которой обеспечивает реализация предлагаемого инвестиционного проекта. Приводится наименование соответствующей муниципальной программы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а также наименование мероприятия муниципальной программы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выполнение которого обеспечит осуществление инвестиционного проекта. Для муниципальных программ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также указываются дата утверждения, реквизиты;</w:t>
      </w:r>
    </w:p>
    <w:p>
      <w:pPr>
        <w:pStyle w:val="11"/>
        <w:tabs>
          <w:tab w:val="clear" w:pos="708"/>
          <w:tab w:val="left" w:pos="668" w:leader="none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для инвестиционных проектов, реализуемых в рамках непрограммных направлений деятельности, указываются реквизиты документа о предоставлении бюджетных ассигнований на реализацию инвестиционного проекта.</w:t>
      </w:r>
    </w:p>
    <w:p>
      <w:pPr>
        <w:pStyle w:val="11"/>
        <w:numPr>
          <w:ilvl w:val="1"/>
          <w:numId w:val="18"/>
        </w:numPr>
        <w:tabs>
          <w:tab w:val="clear" w:pos="708"/>
          <w:tab w:val="left" w:pos="1204" w:leader="none"/>
        </w:tabs>
        <w:ind w:left="0" w:firstLine="709"/>
        <w:jc w:val="both"/>
        <w:rPr/>
      </w:pPr>
      <w:r>
        <w:rPr>
          <w:sz w:val="28"/>
          <w:szCs w:val="28"/>
        </w:rPr>
        <w:t>Критерий - необходимость строительства, реконструкции в том числе с элементами реставрации, технического перевооружения объекта капитального строительства либо необходимость приобретения объекта недвижимого имущества, создаваемого (приобретаемого) в рамках инвестиционного проекта, в связи с осуществлением соответствующими органами местного самоуправления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полномочий, отнесенных к их компетенции.</w:t>
      </w:r>
    </w:p>
    <w:p>
      <w:pPr>
        <w:pStyle w:val="11"/>
        <w:ind w:firstLine="709"/>
        <w:jc w:val="both"/>
        <w:rPr/>
      </w:pPr>
      <w:r>
        <w:rPr>
          <w:sz w:val="28"/>
          <w:szCs w:val="28"/>
        </w:rPr>
        <w:t>Балл, равный 1, присваивается при наличии обоснования невозможности осуществления органами местного самоуправления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полномочий, отнесенных к предмету их ведения: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без строительства объекта капитального строительства, создаваемого в рамках инвестиционного проекта;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без реконструкции, в том числе с элементами реставрации, технического перевооружения объекта капитального строительства (с документальным подтверждением необходимости осуществления мероприятий по их реализации: указание степени изношенности конструкций, обоснование необходимости замены действующего и (или) приобретения нового оборудования).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/>
      </w:pPr>
      <w:r>
        <w:rPr>
          <w:sz w:val="28"/>
          <w:szCs w:val="28"/>
        </w:rPr>
        <w:t>3) без приобретения объекта недвижимого имущества (путем обоснования нецелесообразности или невозможности строительства объекта капитального строительства, а также обоснования выбора данного объекта недвижимого имущества, планируемого к приобретению (в случае приобретения конкретного объекта недвижимого имущества). В случае приобретения объекта недвижимого имущества в муниципальную собственность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также представляется подтверждение управления имущественных отношений администрации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отсутствия в казне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объекта недвижимого имущества, пригодного для использования его в целях, для которых он приобретается, и обоснование нецелесообразности или невозможности получения такого объекта во владение и пользование по договору аренды.</w:t>
      </w:r>
    </w:p>
    <w:p>
      <w:pPr>
        <w:pStyle w:val="11"/>
        <w:numPr>
          <w:ilvl w:val="1"/>
          <w:numId w:val="18"/>
        </w:numPr>
        <w:tabs>
          <w:tab w:val="clear" w:pos="708"/>
          <w:tab w:val="left" w:pos="1276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отсутствие в достаточном объеме замещающей продукции (работ и услуг), производимой иными организациями.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1, присваивается в случае, если в рамках инвестиционного проекта предполагается: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производство продукции (работ и услуг), не имеющей мировых и отечественных аналогов;</w:t>
      </w:r>
    </w:p>
    <w:p>
      <w:pPr>
        <w:pStyle w:val="11"/>
        <w:tabs>
          <w:tab w:val="clear" w:pos="708"/>
          <w:tab w:val="left" w:pos="1022" w:leader="none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производство импортозамещающей продукции (работ и услуг);</w:t>
      </w:r>
    </w:p>
    <w:p>
      <w:pPr>
        <w:pStyle w:val="11"/>
        <w:tabs>
          <w:tab w:val="clear" w:pos="708"/>
          <w:tab w:val="left" w:pos="663" w:leader="none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производство продукции (работ и услуг), спрос на которую с учетом производства замещающей продукции удовлетворяется не в полном объеме.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обоснования соответствия критерию указываются объемы, основные характеристики аналогичной импортируемой продукции; объемы производства, основные характеристики, наименование и месторасположение производителя замещающей продукции (работ и услуг).</w:t>
      </w:r>
    </w:p>
    <w:p>
      <w:pPr>
        <w:pStyle w:val="11"/>
        <w:numPr>
          <w:ilvl w:val="1"/>
          <w:numId w:val="18"/>
        </w:numPr>
        <w:tabs>
          <w:tab w:val="clear" w:pos="708"/>
          <w:tab w:val="left" w:pos="1276" w:leader="none"/>
        </w:tabs>
        <w:ind w:left="0" w:firstLine="709"/>
        <w:jc w:val="both"/>
        <w:rPr/>
      </w:pPr>
      <w:r>
        <w:rPr>
          <w:sz w:val="28"/>
          <w:szCs w:val="28"/>
        </w:rPr>
        <w:t>Критерий - обоснование необходимости реализации инвестиционного проекта с привлечением средств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.</w:t>
      </w:r>
    </w:p>
    <w:p>
      <w:pPr>
        <w:pStyle w:val="11"/>
        <w:ind w:firstLine="709"/>
        <w:jc w:val="both"/>
        <w:rPr/>
      </w:pPr>
      <w:r>
        <w:rPr>
          <w:sz w:val="28"/>
          <w:szCs w:val="28"/>
        </w:rPr>
        <w:t>Балл, равный 1, присваивается в случае, если строительство, реконструкция, в том числе с элементами реставрации, техническое перевооружение объекта капитального строительства муниципальной собственности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либо приобретение объекта недвижимого имущества муниципальной собственности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создаваемого в рамках инвестиционного проекта, предусмотрено проектами муниципальных программ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решение о разработке которых принято в порядке, установленном муниципальными правовыми актами администрации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. Указываются наименование и реквизиты соответствующих документов.</w:t>
      </w:r>
    </w:p>
    <w:p>
      <w:pPr>
        <w:pStyle w:val="11"/>
        <w:ind w:firstLine="709"/>
        <w:jc w:val="both"/>
        <w:rPr/>
      </w:pPr>
      <w:r>
        <w:rPr>
          <w:sz w:val="28"/>
          <w:szCs w:val="28"/>
        </w:rPr>
        <w:t>По инвестиционным проектам, финансирование которых планируется осуществлять частично за счет средств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балл, равный 1, присваивается при его соответствии также следующим требованиям: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наличие документального подтверждения каждого участника реализации инвестиционного проекта об осуществлении финансирования (софинансирования) инвестиционного проекта с указанием объема и сроков финансирования (софинансирования);</w:t>
      </w:r>
    </w:p>
    <w:p>
      <w:pPr>
        <w:pStyle w:val="11"/>
        <w:tabs>
          <w:tab w:val="clear" w:pos="708"/>
          <w:tab w:val="left" w:pos="622" w:leader="none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соответствие предполагаемого объема и сроков софинансирования проекта в представленных документах объему и срокам софинансирования, предусмотренных паспортом инвестиционного проекта.</w:t>
      </w:r>
    </w:p>
    <w:p>
      <w:pPr>
        <w:pStyle w:val="11"/>
        <w:ind w:firstLine="709"/>
        <w:jc w:val="both"/>
        <w:rPr/>
      </w:pPr>
      <w:r>
        <w:rPr>
          <w:sz w:val="28"/>
          <w:szCs w:val="28"/>
        </w:rPr>
        <w:t>Критерий не применим в отношении инвестиционных проектов, планирующих строительство, реконструкцию, в том числе с элементами реставрации, техническое перевооружение объектов капитального строительства муниципальной собственности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.</w:t>
      </w:r>
    </w:p>
    <w:p>
      <w:pPr>
        <w:pStyle w:val="11"/>
        <w:numPr>
          <w:ilvl w:val="1"/>
          <w:numId w:val="18"/>
        </w:numPr>
        <w:tabs>
          <w:tab w:val="clear" w:pos="708"/>
          <w:tab w:val="left" w:pos="965" w:leader="none"/>
        </w:tabs>
        <w:ind w:left="0" w:firstLine="709"/>
        <w:jc w:val="both"/>
        <w:rPr/>
      </w:pPr>
      <w:r>
        <w:rPr>
          <w:sz w:val="28"/>
          <w:szCs w:val="28"/>
        </w:rPr>
        <w:t>Критерий - наличие муниципальных программ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реализуемых за счет средств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 муниципальной собственности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либо приобретение объектов недвижимого имущества в муниципальную собственность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осуществляемых в рамках инвестиционных проектов, или решений органов местного самоуправления о строительстве, приобретении в государственную (муниципальную) собственность объектов капитального строительства, объектов недвижимого имущества, содержащих сведения о ресурсном обеспечении, мощности и сроках реализации инвестиционного проекта в отношении объекта капитального строительства, объекта недвижимого имущества.</w:t>
      </w:r>
    </w:p>
    <w:p>
      <w:pPr>
        <w:pStyle w:val="11"/>
        <w:ind w:firstLine="709"/>
        <w:jc w:val="both"/>
        <w:rPr/>
      </w:pPr>
      <w:r>
        <w:rPr>
          <w:sz w:val="28"/>
          <w:szCs w:val="28"/>
        </w:rPr>
        <w:t>Балл, равный 1, присваивается в случае, если заявителем указаны наименование муниципальной программы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в рамках которых планируется реализация инвестиционного проекта, или реквизиты решений, указанных в абзаце первом настоящего пункта, а также документально подтвержденное обязательство муниципального образования по финансовому обеспечению инвестиционного проекта в объеме и в сроки, предусмотренные паспортом инвестиционного проекта.</w:t>
      </w:r>
    </w:p>
    <w:p>
      <w:pPr>
        <w:pStyle w:val="11"/>
        <w:ind w:firstLine="709"/>
        <w:jc w:val="both"/>
        <w:rPr/>
      </w:pPr>
      <w:r>
        <w:rPr>
          <w:sz w:val="28"/>
          <w:szCs w:val="28"/>
        </w:rPr>
        <w:t>Критерий не применим в отношении инвестиционных проектов, планирующих строительство реконструкцию, в том числе с элементами реставрации, техническое перевооружение объектов капитального строительства либо приобретение объектов недвижимого имущества, не относящихся к муниципальной собственности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.</w:t>
      </w:r>
    </w:p>
    <w:p>
      <w:pPr>
        <w:pStyle w:val="11"/>
        <w:numPr>
          <w:ilvl w:val="1"/>
          <w:numId w:val="18"/>
        </w:numPr>
        <w:tabs>
          <w:tab w:val="clear" w:pos="708"/>
          <w:tab w:val="left" w:pos="965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 оборудования.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при реализации инвестиционного проекта дорогостоящих строительных материалов, художественных изделий для отделки интерьеров и фасада, машин и оборудования признается обоснованным (балл, равный 1), если: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заявителем обоснована необходимость использования дорогостоящих строительных материалов, художественных изделий для отделки интерьеров и фасада, машин и оборудования;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отношение сметной стоимости объекта капитального строительства к проектируемой мощности объекта не более чем на 5 процентов превышает значение соответствующего показателя по проекту-аналогу;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отношение сметной стоимости объекта капитального строительства к общей площади объекта капитального строительства (кв. м) или строительному объему (куб. м) не более чем на 5 процентов превышает значение соответствующего показателя по проекту-аналогу.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проекта-аналога должен использоваться проект, реализуемый (или реализованный) без использования дорогостоящих строительных материалов, художественных изделий для отделки интерьеров и фасада, машин и оборудования или (в случае необходимости использования дорогостоящих строительных материалов, художественных изделий для отделки интерьеров и фасада, машин и оборудования) проект-аналог, доля дорогостоящих материалов в общей стоимости строительно-монтажных работ и (или) доля дорогостоящих машин и оборудования в общей стоимости машин и оборудования которого не превышает значения соответствующих показателей по рассматриваемому проекту.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проверки на соответствие указанному критерию заявитель представляет документально подтвержденные сведения по проектам-аналогам, реализуемым (или реализованным) в Российской Федерации, по месту расположения земельного участка, на котором располагается (будет расположен) планируемый объект капитального строительства, или в иностранном государстве в случае отсутствия проектов-аналогов, реализуемых на территории Российской Федерации.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выборе проектов-аналогов должно быть обеспечено максимальное соответствие характеристик проектируемого объекта и объектов-аналогов по функциональному назначению или по конструктивным и объемно</w:t>
        <w:softHyphen/>
        <w:t>планировочным решениям. Предлагаемая форма сведений по проекту-аналогу приведена в приложении 4 к настоящей Методике.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не применим к инвестиционным проектам, в которых не используются дорогостоящие строительные материалы, художественные изделия для отделки интерьеров и фасада, машины и оборудование.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проверки на соответствие указанному критерию в отношении приобретаемых объектов недвижимого имущества заявитель представляет обоснование необходимости приобретения такого объекта недвижимого имущества, строительство которого было осуществлено с использованием дорогостоящих строительных материалов, художественных изделий для отделки интерьеров и фасада, машин и оборудования.</w:t>
      </w:r>
    </w:p>
    <w:p>
      <w:pPr>
        <w:pStyle w:val="11"/>
        <w:numPr>
          <w:ilvl w:val="1"/>
          <w:numId w:val="18"/>
        </w:numPr>
        <w:tabs>
          <w:tab w:val="clear" w:pos="708"/>
          <w:tab w:val="left" w:pos="884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наличие положительного заключения государственной экспертизы проектной документации и результатов инженерных изысканий.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Подтверждением соответствия инвестиционного проекта указанному критерию (балл, равный 1) являются: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для проектов, проектная документация которых разработана и утверждена застройщиком (заказчиком), - наличие в представленных документах копии положительного заключения государственной экспертизы проектной документации и результатов инженерных изысканий (если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 законодательством Российской Федерации);</w:t>
      </w:r>
    </w:p>
    <w:p>
      <w:pPr>
        <w:pStyle w:val="11"/>
        <w:tabs>
          <w:tab w:val="clear" w:pos="708"/>
          <w:tab w:val="left" w:pos="701" w:leader="none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указанный номер пункта и части статьи 49 Градостроительного кодекса Российской Федерации, в соответствии с которым государственная экспертиза проектной документации предполагаемого объекта капитального строительства не проводится.</w:t>
      </w:r>
    </w:p>
    <w:p>
      <w:pPr>
        <w:pStyle w:val="11"/>
        <w:ind w:firstLine="709"/>
        <w:jc w:val="both"/>
        <w:rPr/>
      </w:pPr>
      <w:r>
        <w:rPr>
          <w:sz w:val="28"/>
          <w:szCs w:val="28"/>
        </w:rPr>
        <w:t>Критерий не применим к инвестиционным проектам, по которым подготавливается решение о предоставлении средств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на подготовку проектной документации и проведение инженерных изысканий, выполняемых для подготовки такой проектной документации. Подтверждением указанного положения является согласованное с главным распорядителем бюджетных средств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или в случае принятия решения о реализации инвестиционного проекта несколькими главными распорядителями бюджетных средств - согласованное с управлением капитального строительства администрации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задание на проектирование объекта капитального строительства, создаваемого в рамках инвестиционного проекта.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не применим для случаев приобретения объектов недвижимого имущества.</w:t>
      </w:r>
    </w:p>
    <w:p>
      <w:pPr>
        <w:pStyle w:val="11"/>
        <w:numPr>
          <w:ilvl w:val="1"/>
          <w:numId w:val="18"/>
        </w:numPr>
        <w:tabs>
          <w:tab w:val="clear" w:pos="708"/>
          <w:tab w:val="left" w:pos="898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обоснование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 назначению и проектной мощности, природным и иным условиям территории, на которой планируется осуществлять строительство, информация о которой включена в единый государственный реестр заключений экспертизы проектной документации объектов капитального строительства, в отношении объектов капитального строительства, указанных в абзаце втором подпункта 1 и абзаце втором подпункта 3 пункта 1.3 настоящих Правил.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1, присваивается, если заявителем обосновано, что использование экономически эффективной проектной документации повторного использования невозможно или нецелесообразно в случаях, установленных статьей 48.2 Градостроительного кодекса Российской Федерации.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не применим к инвестиционным проектам, по которым проектная документация разработана (будет разработана) с использованием проектной документации повторного использования, соответствующей критериям экономической эффективности, установленным постановлением Правительства Российской Федерации от 12 ноября 2016 г.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1159 «О критериях экономической эффективности проектной документации». Заявителем представляется документальное подтверждение об используемой экономически эффективной проектной документации повторного использования.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не применим для случаев приобретения объектов недвижимого имущества.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left="450" w:hang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bCs/>
          <w:sz w:val="28"/>
          <w:szCs w:val="28"/>
          <w:lang w:val="en-US"/>
        </w:rPr>
        <w:t> </w:t>
      </w:r>
      <w:r>
        <w:rPr>
          <w:bCs/>
          <w:sz w:val="28"/>
          <w:szCs w:val="28"/>
        </w:rPr>
        <w:t>Состав, порядок определения баллов оценки и весовых</w:t>
      </w:r>
    </w:p>
    <w:p>
      <w:pPr>
        <w:pStyle w:val="11"/>
        <w:ind w:left="450" w:hang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коэффициентов количественных критериев и оценки</w:t>
      </w:r>
    </w:p>
    <w:p>
      <w:pPr>
        <w:pStyle w:val="11"/>
        <w:ind w:left="450" w:hang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эффективности па основе количественных критериев</w:t>
      </w:r>
    </w:p>
    <w:p>
      <w:pPr>
        <w:pStyle w:val="11"/>
        <w:ind w:left="45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Оценка эффективности осуществляется на основе количественных критериев, предусмотренных пунктом 2.2 Правил проведения проверки инвестиционных проектов на предмет эффективности использования средств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направляемых на капитальные вложения, утвержденных настоящим постановлением.</w:t>
      </w:r>
    </w:p>
    <w:p>
      <w:pPr>
        <w:pStyle w:val="11"/>
        <w:spacing w:before="0" w:after="2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Оценка эффективности на основе количественных критериев рассчитывается по следующей формуле:</w:t>
      </w:r>
    </w:p>
    <w:p>
      <w:pPr>
        <w:pStyle w:val="11"/>
        <w:spacing w:before="0" w:after="220"/>
        <w:ind w:firstLine="709"/>
        <w:jc w:val="center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Э</m:t>
            </m:r>
          </m:e>
          <m:sub>
            <m:r>
              <w:rPr>
                <w:rFonts w:ascii="Cambria Math" w:hAnsi="Cambria Math"/>
              </w:rPr>
              <m:t xml:space="preserve">колич</m:t>
            </m:r>
          </m:sub>
        </m:sSub>
        <m:r>
          <w:rPr>
            <w:rFonts w:ascii="Cambria Math" w:hAnsi="Cambria Math"/>
          </w:rPr>
          <m:t xml:space="preserve">=</m:t>
        </m:r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i</m:t>
            </m:r>
          </m:sup>
          <m:e>
            <m:sSub>
              <m:e>
                <m:r>
                  <w:rPr>
                    <w:rFonts w:ascii="Cambria Math" w:hAnsi="Cambria Math"/>
                  </w:rPr>
                  <m:t xml:space="preserve">Б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  <m:r>
              <w:rPr>
                <w:rFonts w:ascii="Cambria Math" w:hAnsi="Cambria Math"/>
              </w:rPr>
              <m:t xml:space="preserve">×</m:t>
            </m:r>
            <m:sSub>
              <m:e>
                <m:r>
                  <w:rPr>
                    <w:rFonts w:ascii="Cambria Math" w:hAnsi="Cambria Math"/>
                  </w:rPr>
                  <m:t xml:space="preserve">в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</m:e>
        </m:nary>
        <m:r>
          <w:rPr>
            <w:rFonts w:ascii="Cambria Math" w:hAnsi="Cambria Math"/>
          </w:rPr>
          <m:t xml:space="preserve">,</m:t>
        </m:r>
        <m:r>
          <w:rPr>
            <w:rFonts w:ascii="Cambria Math" w:hAnsi="Cambria Math"/>
          </w:rPr>
          <m:t xml:space="preserve">где</m:t>
        </m:r>
        <m:r>
          <w:rPr>
            <w:rFonts w:ascii="Cambria Math" w:hAnsi="Cambria Math"/>
          </w:rPr>
          <m:t xml:space="preserve">:</m:t>
        </m:r>
      </m:oMath>
    </w:p>
    <w:p>
      <w:pPr>
        <w:pStyle w:val="11"/>
        <w:ind w:firstLine="709"/>
        <w:jc w:val="both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Э</m:t>
            </m:r>
          </m:e>
          <m:sub>
            <m:r>
              <w:rPr>
                <w:rFonts w:ascii="Cambria Math" w:hAnsi="Cambria Math"/>
              </w:rPr>
              <m:t xml:space="preserve">колич</m:t>
            </m:r>
          </m:sub>
        </m:sSub>
      </m:oMath>
      <w:r>
        <w:rPr>
          <w:sz w:val="28"/>
          <w:szCs w:val="28"/>
          <w:lang w:bidi="ru-RU"/>
        </w:rPr>
        <w:t xml:space="preserve"> – </w:t>
      </w:r>
      <w:r>
        <w:rPr>
          <w:sz w:val="28"/>
          <w:szCs w:val="28"/>
          <w:lang w:bidi="ru-RU"/>
        </w:rPr>
        <w:t>эффективность на основе количественных критериев;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Б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балл оценки </w:t>
      </w:r>
      <w:r>
        <w:rPr>
          <w:sz w:val="28"/>
          <w:szCs w:val="28"/>
          <w:lang w:val="en-US" w:bidi="en-US"/>
        </w:rPr>
        <w:t>i</w:t>
      </w:r>
      <w:r>
        <w:rPr>
          <w:sz w:val="28"/>
          <w:szCs w:val="28"/>
          <w:lang w:bidi="en-US"/>
        </w:rPr>
        <w:t>-г</w:t>
      </w:r>
      <w:r>
        <w:rPr>
          <w:sz w:val="28"/>
          <w:szCs w:val="28"/>
          <w:lang w:val="en-US" w:bidi="en-US"/>
        </w:rPr>
        <w:t>o</w:t>
      </w:r>
      <w:r>
        <w:rPr>
          <w:sz w:val="28"/>
          <w:szCs w:val="28"/>
          <w:lang w:bidi="en-US"/>
        </w:rPr>
        <w:t xml:space="preserve"> </w:t>
      </w:r>
      <w:r>
        <w:rPr>
          <w:sz w:val="28"/>
          <w:szCs w:val="28"/>
        </w:rPr>
        <w:t>количественного критерия;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в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весовой коэффициент </w:t>
      </w:r>
      <w:r>
        <w:rPr>
          <w:sz w:val="28"/>
          <w:szCs w:val="28"/>
          <w:lang w:val="en-US" w:bidi="en-US"/>
        </w:rPr>
        <w:t>i</w:t>
      </w:r>
      <w:r>
        <w:rPr>
          <w:sz w:val="28"/>
          <w:szCs w:val="28"/>
          <w:lang w:bidi="en-US"/>
        </w:rPr>
        <w:t>-г</w:t>
      </w:r>
      <w:r>
        <w:rPr>
          <w:sz w:val="28"/>
          <w:szCs w:val="28"/>
          <w:lang w:val="en-US" w:bidi="en-US"/>
        </w:rPr>
        <w:t>o</w:t>
      </w:r>
      <w:r>
        <w:rPr>
          <w:sz w:val="28"/>
          <w:szCs w:val="28"/>
          <w:lang w:bidi="en-US"/>
        </w:rPr>
        <w:t xml:space="preserve"> </w:t>
      </w:r>
      <w:r>
        <w:rPr>
          <w:sz w:val="28"/>
          <w:szCs w:val="28"/>
        </w:rPr>
        <w:t>количественного критерия, в процентах;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 - общее число количественных критериев.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Сумма весовых коэффициентов по всем количественным критериям составляет 100 процентов.</w:t>
      </w:r>
    </w:p>
    <w:p>
      <w:pPr>
        <w:pStyle w:val="11"/>
        <w:numPr>
          <w:ilvl w:val="1"/>
          <w:numId w:val="2"/>
        </w:numPr>
        <w:tabs>
          <w:tab w:val="clear" w:pos="708"/>
          <w:tab w:val="left" w:pos="1276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определению баллов оценки по каждому из количественных критериев установлены пунктами 3.4 - 3.9 настоящей Методики.</w:t>
      </w:r>
    </w:p>
    <w:p>
      <w:pPr>
        <w:pStyle w:val="11"/>
        <w:tabs>
          <w:tab w:val="clear" w:pos="708"/>
          <w:tab w:val="left" w:pos="1276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Значения весовых коэффициентов количественных критериев в зависимости от типа (назначения) инвестиционного проекта, устанавливаемые в целях Методики, приведены в приложении 2 к настоящей Методике.</w:t>
      </w:r>
    </w:p>
    <w:p>
      <w:pPr>
        <w:pStyle w:val="11"/>
        <w:tabs>
          <w:tab w:val="clear" w:pos="708"/>
          <w:tab w:val="left" w:pos="1276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Возможные значения баллов оценки по каждому из количественных критериев приведены в графе «Допустимый балл оценки» таблицы 2 приложения 1 к настоящей Методике.</w:t>
      </w:r>
    </w:p>
    <w:p>
      <w:pPr>
        <w:pStyle w:val="11"/>
        <w:numPr>
          <w:ilvl w:val="1"/>
          <w:numId w:val="2"/>
        </w:numPr>
        <w:tabs>
          <w:tab w:val="clear" w:pos="708"/>
          <w:tab w:val="left" w:pos="1276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значения количественных показателей (показателя) результатов реализации инвестиционного проекта.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присвоения балла, равного 1, представленные заявителем в паспорте инвестиционного проекта значения количественных показателей результатов его реализации должны отвечать следующим требованиям:</w:t>
      </w:r>
    </w:p>
    <w:p>
      <w:pPr>
        <w:pStyle w:val="11"/>
        <w:tabs>
          <w:tab w:val="clear" w:pos="708"/>
          <w:tab w:val="left" w:pos="1036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наличие показателя (показателей), характеризующего непосредственные (прямые) результаты реализации инвестиционного проекта (мощность объекта капитального строительства, общая площадь объекта, общий строительный объем, мощность приобретаемого объекта недвижимого имущества) с указанием единиц измерения в соответствии с Общероссийским классификатором единиц измерения;</w:t>
      </w:r>
    </w:p>
    <w:p>
      <w:pPr>
        <w:pStyle w:val="11"/>
        <w:tabs>
          <w:tab w:val="clear" w:pos="708"/>
          <w:tab w:val="left" w:pos="1036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наличие не менее одного показателя, характеризующего конечные социально-экономические результаты реализации проекта.</w:t>
      </w:r>
    </w:p>
    <w:p>
      <w:pPr>
        <w:pStyle w:val="11"/>
        <w:numPr>
          <w:ilvl w:val="1"/>
          <w:numId w:val="2"/>
        </w:numPr>
        <w:tabs>
          <w:tab w:val="clear" w:pos="708"/>
          <w:tab w:val="left" w:pos="86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по данному критерию объектов капитального строительства осуществляется путем сравнения стоимости инвестиционного проекта с проектами-аналогами, выбор которых осуществляется в порядке, предусмотренном пунктом 2.11 настоящей Методики.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по данному критерию приобретаемых объектов недвижимого имущества осуществляется путем определения рыночной стоимости приобретаемого объекта недвижимого имущества, указанной в отчете об оценке данного объекта, составленном в порядке, предусмотренном законодательством Российской Федерации об оценочной деятельности.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Сметная стоимость объекта капитального строительства, создаваемого в рамках реализации инвестиционного проекта, указывается в ценах года получения положительного заключения государственной экспертизы проектной документации, предполагаемая (предельная) стоимость объекта капитального строительства либо стоимость приобретения объекта недвижимого имущества указывается в ценах года представления паспорта инвестиционного проекта (с указанием года ее определения).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1, присваивается проекту, если значение отношения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к его количественным показателям (показателю) результатов реализации проекта отличается от аналогичного значения (значений) показателя (показателей) по проектам-аналогам не более чем на 2 процента.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0,5, присваивается проекту, если значение отношения сметной стоимости или предполагаемой (предельной) стоимости предлагаемого объекта капитального строительства либо стоимости приобретения объекта недвижимого имущества к его количественным показателям (показателю) результатов реализации проекта отличается от значения указанного отношения по проекту-аналогу более чем на 2 процента, но не более чем на 7 процентов.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0, присваивается проекту, в случае если значение отношения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к его количественным показателям (показателю) результатов реализации проекта отличается от значения указанного отношения по проекту-аналогу более чем на 7 процентов хотя бы по одному показателю.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не применим в отношении инвестиционных проектов, по которым получено положительное заключение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строительства, в случаях, установленных частью 2 статьи 8.3 Градостроительного кодекса Российской Федерации.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значения баллов сметная стоимость или предполагаемая (предельная) стоимость объекта капитального строительства либо стоимость приобретения объекта недвижимого имущества, создаваемого (созданного) или приобретаемого в ходе реализации проектов-аналогов, должна представляться в ценах года определения сметной стоимости объекта капитального строительства, планируемого к созданию в рамках реализации инвестиционного проекта. Приведение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по проектам-аналогам к указанному уровню цен должно осуществляться с использованием индексов- дефляторов инвестиций в основной капитал за счет всех источников финансирования, разработанных Минэкономразвития России в составе сценарных условий и основных параметров прогноза социально- экономического развития Российской Федерации и доведенных до федеральных органов исполнительной власти после утверждения Правительством Российской Федерации.</w:t>
      </w:r>
    </w:p>
    <w:p>
      <w:pPr>
        <w:pStyle w:val="11"/>
        <w:numPr>
          <w:ilvl w:val="1"/>
          <w:numId w:val="2"/>
        </w:numPr>
        <w:tabs>
          <w:tab w:val="clear" w:pos="708"/>
          <w:tab w:val="left" w:pos="1276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наличие потребителей продукции (услуг), создаваемой в 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приводит обоснование спроса (потребности) на продукцию (услуги), создаваемую в результате реализации инвестиционного проекта.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1, присваивается, если проектная мощность (намечаемый объем производства продукции, оказания услуг) создаваемого (реконструируемого) в рамках реализации инвестиционного проекта объекта капитального строительства (мощности приобретаемого объекта недвижимого имущества) соответствует (или менее) потребности в данной продукции (услугах).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0,5,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(реконструируемого) в рамках реализации инвестиционного проекта объекта капитального строительства (мощности приобретаемого объекта недвижимого имущества) в размере менее 100 процентов, но не ниже 75 процентов проектной мощности.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0,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(реконструируемого) в рамках реализации инвестиционного проекта объекта капитального строительства (мощности приобретаемого объекта недвижимого имущества) в размере менее 75 процентов проектной мощности.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Потребность в продукции (услугах) определяется на момент ввода создаваемого (реконструируемого) в рамках реализации инвестиционного проекта объекта капитального строительства с учетом уже созданных и создаваемых мощностей в данной сфере деятельности.</w:t>
      </w:r>
    </w:p>
    <w:p>
      <w:pPr>
        <w:pStyle w:val="11"/>
        <w:numPr>
          <w:ilvl w:val="1"/>
          <w:numId w:val="2"/>
        </w:numPr>
        <w:tabs>
          <w:tab w:val="clear" w:pos="708"/>
          <w:tab w:val="left" w:pos="1276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муниципальных нужд.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1, присваивается, если 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муниципальных нужд, не превышает 100 процентов.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приводит обоснование спроса (потребности)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имущества).</w:t>
      </w:r>
    </w:p>
    <w:p>
      <w:pPr>
        <w:pStyle w:val="11"/>
        <w:numPr>
          <w:ilvl w:val="1"/>
          <w:numId w:val="2"/>
        </w:numPr>
        <w:tabs>
          <w:tab w:val="clear" w:pos="708"/>
          <w:tab w:val="left" w:pos="1276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обеспечение планируемого объекта капитального строительства (объекта недвижимого имущества) инженерной и транспортной инфраструктурами в объемах, достаточных для реализации инвестиционного проекта.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 приводит обоснование планируемого обеспечения, создаваемого (реконструируемого) объекта капитального строительства (приобретаемого объекта недвижимого имущества) инженерной и транспортной инфраструктурой.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 равен 1 в случаях:</w:t>
      </w:r>
    </w:p>
    <w:p>
      <w:pPr>
        <w:pStyle w:val="11"/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если на площадке, отводимой под предлагаемое строительство (для функционирования приобретаемого объекта недвижимого имущества), уже имеются все виды инженерной и транспортной инфраструктуры в необходимых объемах;</w:t>
      </w:r>
    </w:p>
    <w:p>
      <w:pPr>
        <w:pStyle w:val="11"/>
        <w:tabs>
          <w:tab w:val="clear" w:pos="708"/>
          <w:tab w:val="left" w:pos="678" w:leader="none"/>
          <w:tab w:val="left" w:pos="1134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если для предполагаемого объекта капитального строительства (приобретаемого объекта недвижимого имущества) в силу его функционального назначения инженерная и транспортная инфраструктура не требуется (например, берегоукрепительные работы).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 равен 0,5, если средневзвешенный уровень обеспеченности планируемого объекта капитального строительства (приобретаемого объекта недвижимого имущества) инженерной и транспортной инфраструктурой менее 100 процентов, но не менее 75 процентов от требуемого объема и инвестиционным проектом предусмотрены затраты на обеспечение планируемого объекта капитального строительства (объекта недвижимого имущества) инженерной и транспортной инфраструктурой в необходимых объемах.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 равен 0, если средневзвешенный уровень обеспеченности планируемого объекта капитального строительства (приобретаемого объекта недвижимого имущества) инженерной и транспортной инфраструктурой менее 75 процентов от требуемого объема или инвестиционным проектом не предусмотрены затраты на обеспечение планируемого объекта капитального строительства (объекта недвижимого имущества) инженерной и транспортной инфраструктурой в необходимых объемах.</w:t>
      </w:r>
    </w:p>
    <w:p>
      <w:pPr>
        <w:pStyle w:val="11"/>
        <w:spacing w:before="0" w:after="2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Средневзвешенный уровень обеспеченности инженерной и транспортной инфраструктурами рассчитывается по формуле:</w:t>
      </w:r>
    </w:p>
    <w:p>
      <w:pPr>
        <w:pStyle w:val="31"/>
        <w:spacing w:before="0" w:after="360"/>
        <w:ind w:firstLine="709"/>
        <w:rPr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И</m:t>
        </m:r>
        <m:r>
          <w:rPr>
            <w:rFonts w:ascii="Cambria Math" w:hAnsi="Cambria Math"/>
          </w:rPr>
          <m:t xml:space="preserve">=</m:t>
        </m:r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n</m:t>
            </m:r>
          </m:sup>
          <m:e>
            <m:f>
              <m:fPr>
                <m:type m:val="lin"/>
              </m:fPr>
              <m:num>
                <m:sSub>
                  <m:e>
                    <m:r>
                      <w:rPr>
                        <w:rFonts w:ascii="Cambria Math" w:hAnsi="Cambria Math"/>
                      </w:rPr>
                      <m:t xml:space="preserve"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i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n</m:t>
                </m:r>
              </m:den>
            </m:f>
          </m:e>
        </m:nary>
        <m:r>
          <w:rPr>
            <w:rFonts w:ascii="Cambria Math" w:hAnsi="Cambria Math"/>
          </w:rPr>
          <m:t xml:space="preserve">,</m:t>
        </m:r>
        <m:r>
          <w:rPr>
            <w:rFonts w:ascii="Cambria Math" w:hAnsi="Cambria Math"/>
          </w:rPr>
          <m:t xml:space="preserve">где</m:t>
        </m:r>
        <m:r>
          <w:rPr>
            <w:rFonts w:ascii="Cambria Math" w:hAnsi="Cambria Math"/>
          </w:rPr>
          <m:t xml:space="preserve">:</m:t>
        </m:r>
      </m:oMath>
    </w:p>
    <w:p>
      <w:pPr>
        <w:pStyle w:val="11"/>
        <w:ind w:firstLine="709"/>
        <w:jc w:val="both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U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sz w:val="28"/>
          <w:szCs w:val="28"/>
        </w:rPr>
        <w:t xml:space="preserve">- уровень обеспеченности </w:t>
      </w:r>
      <w:r>
        <w:rPr>
          <w:sz w:val="28"/>
          <w:szCs w:val="28"/>
          <w:lang w:val="en-US" w:bidi="en-US"/>
        </w:rPr>
        <w:t>i</w:t>
      </w:r>
      <w:r>
        <w:rPr>
          <w:sz w:val="28"/>
          <w:szCs w:val="28"/>
        </w:rPr>
        <w:t>-м видом инженерной и транспортной инфраструктур (энергоснабжение; водоснабжение, теплоснабжение, телефонная связь, объекты транспортной инфраструктуры), в процентах;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n - количество видов необходимой инженерной и транспортной инфраструктуры.</w:t>
      </w:r>
    </w:p>
    <w:p>
      <w:pPr>
        <w:pStyle w:val="11"/>
        <w:numPr>
          <w:ilvl w:val="1"/>
          <w:numId w:val="2"/>
        </w:numPr>
        <w:tabs>
          <w:tab w:val="clear" w:pos="708"/>
          <w:tab w:val="left" w:pos="793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- наличие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установленных частью 2 статьи 8(3) Градостроительного кодекса Российской Федерации.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Балл, равный 1, присваивается проекту в случае наличия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установленных частью 2 статьи 8.3 Градостроительного кодекса Российской Федерации.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Критерий не применим в отношении инвестиционных проектов, к которым применяется количественный критерий, предусмотренный подпунктом 2 пункта 2.2 Правил проведения проверки инвестиционных проектов на предмет эффективности использования средств краевого бюджета, направляемых на капитальные вложения, утвержденных настоящим постановлением.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3"/>
        <w:keepNext w:val="true"/>
        <w:keepLines/>
        <w:numPr>
          <w:ilvl w:val="0"/>
          <w:numId w:val="3"/>
        </w:numPr>
        <w:tabs>
          <w:tab w:val="clear" w:pos="708"/>
          <w:tab w:val="left" w:pos="993" w:leader="none"/>
        </w:tabs>
        <w:spacing w:before="0" w:after="0"/>
        <w:ind w:firstLine="709"/>
        <w:rPr>
          <w:b w:val="false"/>
          <w:b w:val="false"/>
          <w:sz w:val="28"/>
          <w:szCs w:val="28"/>
        </w:rPr>
      </w:pPr>
      <w:bookmarkStart w:id="2" w:name="bookmark6"/>
      <w:r>
        <w:rPr>
          <w:b w:val="false"/>
          <w:sz w:val="28"/>
          <w:szCs w:val="28"/>
        </w:rPr>
        <w:t>Расчет интегральной оценки эффективности</w:t>
      </w:r>
      <w:bookmarkEnd w:id="2"/>
    </w:p>
    <w:p>
      <w:pPr>
        <w:pStyle w:val="23"/>
        <w:keepNext w:val="true"/>
        <w:keepLines/>
        <w:spacing w:before="0" w:after="0"/>
        <w:ind w:left="709" w:hanging="0"/>
        <w:jc w:val="lef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11"/>
        <w:numPr>
          <w:ilvl w:val="1"/>
          <w:numId w:val="3"/>
        </w:numPr>
        <w:tabs>
          <w:tab w:val="clear" w:pos="708"/>
          <w:tab w:val="left" w:pos="1276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Интегральная оценка (Э</w:t>
      </w:r>
      <w:r>
        <w:rPr>
          <w:sz w:val="28"/>
          <w:szCs w:val="28"/>
          <w:vertAlign w:val="subscript"/>
        </w:rPr>
        <w:t>инт</w:t>
      </w:r>
      <w:r>
        <w:rPr>
          <w:sz w:val="28"/>
          <w:szCs w:val="28"/>
        </w:rPr>
        <w:t>) определяется как средневзвешенная сумма оценок эффективности на основе качественных и количественных критериев по следующей формуле:</w:t>
      </w:r>
    </w:p>
    <w:p>
      <w:pPr>
        <w:pStyle w:val="11"/>
        <w:tabs>
          <w:tab w:val="clear" w:pos="708"/>
          <w:tab w:val="left" w:pos="788" w:leader="none"/>
        </w:tabs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spacing w:before="0" w:after="200"/>
        <w:ind w:firstLine="709"/>
        <w:jc w:val="center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Э</m:t>
            </m:r>
          </m:e>
          <m:sub>
            <m:r>
              <w:rPr>
                <w:rFonts w:ascii="Cambria Math" w:hAnsi="Cambria Math"/>
              </w:rPr>
              <m:t xml:space="preserve">инт</m:t>
            </m:r>
          </m:sub>
        </m:sSub>
        <m:r>
          <w:rPr>
            <w:rFonts w:ascii="Cambria Math" w:hAnsi="Cambria Math"/>
          </w:rPr>
          <m:t xml:space="preserve">=</m:t>
        </m:r>
        <m:sSub>
          <m:e>
            <m:r>
              <w:rPr>
                <w:rFonts w:ascii="Cambria Math" w:hAnsi="Cambria Math"/>
              </w:rPr>
              <m:t xml:space="preserve">Э</m:t>
            </m:r>
          </m:e>
          <m:sub>
            <m:r>
              <w:rPr>
                <w:rFonts w:ascii="Cambria Math" w:hAnsi="Cambria Math"/>
              </w:rPr>
              <m:t xml:space="preserve">кач</m:t>
            </m:r>
          </m:sub>
        </m:sSub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0</m:t>
        </m:r>
        <m:r>
          <w:rPr>
            <w:rFonts w:ascii="Cambria Math" w:hAnsi="Cambria Math"/>
          </w:rPr>
          <m:t xml:space="preserve">,</m:t>
        </m:r>
        <m:r>
          <w:rPr>
            <w:rFonts w:ascii="Cambria Math" w:hAnsi="Cambria Math"/>
          </w:rPr>
          <m:t xml:space="preserve">2</m:t>
        </m:r>
        <m:r>
          <w:rPr>
            <w:rFonts w:ascii="Cambria Math" w:hAnsi="Cambria Math"/>
          </w:rPr>
          <m:t xml:space="preserve">+</m:t>
        </m:r>
        <m:sSub>
          <m:e>
            <m:r>
              <w:rPr>
                <w:rFonts w:ascii="Cambria Math" w:hAnsi="Cambria Math"/>
              </w:rPr>
              <m:t xml:space="preserve">Э</m:t>
            </m:r>
          </m:e>
          <m:sub>
            <m:r>
              <w:rPr>
                <w:rFonts w:ascii="Cambria Math" w:hAnsi="Cambria Math"/>
              </w:rPr>
              <m:t xml:space="preserve">колич</m:t>
            </m:r>
          </m:sub>
        </m:sSub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0</m:t>
        </m:r>
        <m:r>
          <w:rPr>
            <w:rFonts w:ascii="Cambria Math" w:hAnsi="Cambria Math"/>
          </w:rPr>
          <m:t xml:space="preserve">,</m:t>
        </m:r>
        <m:r>
          <w:rPr>
            <w:rFonts w:ascii="Cambria Math" w:hAnsi="Cambria Math"/>
          </w:rPr>
          <m:t xml:space="preserve">8</m:t>
        </m:r>
        <m:r>
          <w:rPr>
            <w:rFonts w:ascii="Cambria Math" w:hAnsi="Cambria Math"/>
          </w:rPr>
          <m:t xml:space="preserve">,</m:t>
        </m:r>
        <m:r>
          <w:rPr>
            <w:rFonts w:ascii="Cambria Math" w:hAnsi="Cambria Math"/>
          </w:rPr>
          <m:t xml:space="preserve">где</m:t>
        </m:r>
        <m:r>
          <w:rPr>
            <w:rFonts w:ascii="Cambria Math" w:hAnsi="Cambria Math"/>
          </w:rPr>
          <m:t xml:space="preserve">:</m:t>
        </m:r>
      </m:oMath>
      <w:r>
        <w:rPr>
          <w:sz w:val="28"/>
          <w:szCs w:val="28"/>
        </w:rPr>
        <w:t xml:space="preserve"> </w:t>
      </w:r>
    </w:p>
    <w:p>
      <w:pPr>
        <w:pStyle w:val="11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firstLine="709"/>
        <w:jc w:val="both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Э</m:t>
            </m:r>
          </m:e>
          <m:sub>
            <m:r>
              <w:rPr>
                <w:rFonts w:ascii="Cambria Math" w:hAnsi="Cambria Math"/>
              </w:rPr>
              <m:t xml:space="preserve">кач</m:t>
            </m:r>
          </m:sub>
        </m:sSub>
      </m:oMath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- оценка эффективности на основе качественных критериев;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Э</m:t>
            </m:r>
          </m:e>
          <m:sub>
            <m:r>
              <w:rPr>
                <w:rFonts w:ascii="Cambria Math" w:hAnsi="Cambria Math"/>
              </w:rPr>
              <m:t xml:space="preserve">колич</m:t>
            </m:r>
          </m:sub>
        </m:sSub>
      </m:oMath>
      <w:r>
        <w:rPr>
          <w:sz w:val="28"/>
          <w:szCs w:val="28"/>
        </w:rPr>
        <w:t>- оценка эффективности на основе количественных критериев;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0,2 и 0,8 - весовые коэффициенты оценок эффективности на основе качественных и количественных критериев соответственно.</w:t>
      </w:r>
    </w:p>
    <w:p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интегральной оценки приведен в таблице 3 приложения 1 к настоящей Методике.</w:t>
      </w:r>
    </w:p>
    <w:p>
      <w:pPr>
        <w:pStyle w:val="11"/>
        <w:numPr>
          <w:ilvl w:val="1"/>
          <w:numId w:val="3"/>
        </w:numPr>
        <w:tabs>
          <w:tab w:val="clear" w:pos="708"/>
          <w:tab w:val="left" w:pos="1276" w:leader="none"/>
        </w:tabs>
        <w:ind w:firstLine="709"/>
        <w:jc w:val="both"/>
        <w:rPr/>
      </w:pPr>
      <w:r>
        <w:rPr>
          <w:sz w:val="28"/>
          <w:szCs w:val="28"/>
        </w:rPr>
        <w:t>При осуществлении оценки эффективности предельное (минимальное) значение интегральной оценки устанавливается равным 70 процентам. Соответствие или превышение числового значения интегральной оценки установленному предельному значению свидетельствует об эффективности инвестиционного проекта и целесообразности его финансового обеспечения полностью или частично из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.</w:t>
      </w:r>
    </w:p>
    <w:p>
      <w:pPr>
        <w:pStyle w:val="11"/>
        <w:tabs>
          <w:tab w:val="clear" w:pos="708"/>
          <w:tab w:val="left" w:pos="793" w:leader="none"/>
        </w:tabs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tabs>
          <w:tab w:val="clear" w:pos="708"/>
          <w:tab w:val="left" w:pos="793" w:leader="none"/>
        </w:tabs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tabs>
          <w:tab w:val="clear" w:pos="708"/>
          <w:tab w:val="left" w:pos="793" w:leader="none"/>
        </w:tabs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>
      <w:pPr>
        <w:pStyle w:val="11"/>
        <w:tabs>
          <w:tab w:val="clear" w:pos="708"/>
          <w:tab w:val="left" w:pos="793" w:leader="none"/>
        </w:tabs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экономического развития </w:t>
      </w:r>
    </w:p>
    <w:p>
      <w:pPr>
        <w:pStyle w:val="11"/>
        <w:tabs>
          <w:tab w:val="clear" w:pos="708"/>
          <w:tab w:val="left" w:pos="793" w:leader="none"/>
        </w:tabs>
        <w:ind w:hanging="0"/>
        <w:jc w:val="both"/>
        <w:rPr/>
      </w:pPr>
      <w:r>
        <w:rPr>
          <w:sz w:val="28"/>
          <w:szCs w:val="28"/>
        </w:rPr>
        <w:t>администрации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</w:p>
    <w:p>
      <w:pPr>
        <w:pStyle w:val="11"/>
        <w:tabs>
          <w:tab w:val="clear" w:pos="708"/>
          <w:tab w:val="left" w:pos="793" w:leader="none"/>
        </w:tabs>
        <w:ind w:hanging="0"/>
        <w:jc w:val="both"/>
        <w:rPr/>
      </w:pP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                                                                М.А. Стамбольжи </w:t>
      </w:r>
    </w:p>
    <w:p>
      <w:pPr>
        <w:pStyle w:val="Normal"/>
        <w:rPr>
          <w:lang w:eastAsia="en-US" w:bidi="ar-SA"/>
        </w:rPr>
      </w:pPr>
      <w:r>
        <w:rPr>
          <w:lang w:eastAsia="en-US" w:bidi="ar-SA"/>
        </w:rPr>
      </w:r>
    </w:p>
    <w:p>
      <w:pPr>
        <w:pStyle w:val="Normal"/>
        <w:rPr>
          <w:lang w:eastAsia="en-US" w:bidi="ar-SA"/>
        </w:rPr>
      </w:pPr>
      <w:r>
        <w:rPr>
          <w:lang w:eastAsia="en-US" w:bidi="ar-SA"/>
        </w:rPr>
      </w:r>
    </w:p>
    <w:p>
      <w:pPr>
        <w:sectPr>
          <w:headerReference w:type="default" r:id="rId2"/>
          <w:headerReference w:type="first" r:id="rId3"/>
          <w:footerReference w:type="default" r:id="rId4"/>
          <w:footerReference w:type="first" r:id="rId5"/>
          <w:type w:val="nextPage"/>
          <w:pgSz w:w="11906" w:h="16838"/>
          <w:pgMar w:left="1701" w:right="567" w:header="426" w:top="1134" w:footer="309" w:bottom="1134" w:gutter="0"/>
          <w:pgNumType w:start="1" w:fmt="decimal"/>
          <w:formProt w:val="false"/>
          <w:titlePg/>
          <w:textDirection w:val="lrTb"/>
          <w:docGrid w:type="default" w:linePitch="360" w:charSpace="0"/>
        </w:sectPr>
        <w:pStyle w:val="Normal"/>
        <w:tabs>
          <w:tab w:val="clear" w:pos="708"/>
          <w:tab w:val="left" w:pos="1545" w:leader="none"/>
        </w:tabs>
        <w:rPr>
          <w:lang w:eastAsia="en-US" w:bidi="ar-SA"/>
        </w:rPr>
      </w:pPr>
      <w:r>
        <w:rPr>
          <w:lang w:eastAsia="en-US" w:bidi="ar-SA"/>
        </w:rPr>
        <w:tab/>
      </w:r>
    </w:p>
    <w:p>
      <w:pPr>
        <w:pStyle w:val="11"/>
        <w:widowControl w:val="false"/>
        <w:tabs>
          <w:tab w:val="clear" w:pos="708"/>
          <w:tab w:val="left" w:pos="6379" w:leader="none"/>
        </w:tabs>
        <w:bidi w:val="0"/>
        <w:spacing w:lineRule="auto" w:line="240"/>
        <w:ind w:left="5726" w:right="0" w:hanging="0"/>
        <w:jc w:val="left"/>
        <w:rPr/>
      </w:pPr>
      <w:r>
        <w:rPr>
          <w:sz w:val="28"/>
          <w:szCs w:val="28"/>
        </w:rPr>
        <w:t>Приложение 1</w:t>
      </w:r>
    </w:p>
    <w:p>
      <w:pPr>
        <w:pStyle w:val="11"/>
        <w:widowControl w:val="false"/>
        <w:tabs>
          <w:tab w:val="clear" w:pos="708"/>
          <w:tab w:val="left" w:pos="6379" w:leader="none"/>
        </w:tabs>
        <w:bidi w:val="0"/>
        <w:spacing w:lineRule="auto" w:line="240"/>
        <w:ind w:left="5726"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>к Методике оценки эффективности использования средств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направляемых на капитальные вложения</w:t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РАСЧЕТ</w:t>
      </w:r>
    </w:p>
    <w:p>
      <w:pPr>
        <w:pStyle w:val="11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интегральной оценки эффективности</w:t>
      </w:r>
    </w:p>
    <w:p>
      <w:pPr>
        <w:pStyle w:val="11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инвестиционного проекта</w:t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pBdr>
          <w:bottom w:val="single" w:sz="4" w:space="0" w:color="000000"/>
        </w:pBdr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проекта (по паспорту инвестиционного проекта)</w:t>
      </w:r>
    </w:p>
    <w:p>
      <w:pPr>
        <w:pStyle w:val="11"/>
        <w:pBdr>
          <w:bottom w:val="single" w:sz="4" w:space="0" w:color="000000"/>
        </w:pBdr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spacing w:before="0" w:after="440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>Форма реализации инвестиционного проекта (новое строительство, реконструкция, в том числе с элементами реставрации, техническое перевооружение или приобретение объекта недвижимого имущества) ____________________________________________________________________</w:t>
      </w:r>
    </w:p>
    <w:p>
      <w:pPr>
        <w:pStyle w:val="11"/>
        <w:tabs>
          <w:tab w:val="clear" w:pos="708"/>
          <w:tab w:val="left" w:pos="1781" w:leader="underscore"/>
          <w:tab w:val="left" w:pos="6586" w:leader="underscore"/>
        </w:tabs>
        <w:spacing w:before="0" w:after="200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>Заявитель____________________________________________________________</w:t>
      </w:r>
    </w:p>
    <w:p>
      <w:pPr>
        <w:pStyle w:val="11"/>
        <w:ind w:hanging="0"/>
        <w:jc w:val="both"/>
        <w:rPr/>
      </w:pPr>
      <w:r>
        <w:rPr>
          <w:sz w:val="28"/>
          <w:szCs w:val="28"/>
        </w:rPr>
        <w:t>Тип (назначение) проекта (в соответствии с приложением 2 к Методике оценки эффективности использования средств бюджета 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направляемых на капитальные вложения, утвержденной настоящим постановлением)</w:t>
      </w:r>
    </w:p>
    <w:p>
      <w:pPr>
        <w:pStyle w:val="11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>
      <w:pPr>
        <w:pStyle w:val="Style29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9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1. Оценка соответствия инвестиционного проекта </w:t>
      </w:r>
    </w:p>
    <w:p>
      <w:pPr>
        <w:pStyle w:val="Style29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  <w:t>качественным критериям</w:t>
      </w:r>
    </w:p>
    <w:p>
      <w:pPr>
        <w:pStyle w:val="Style29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f0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665"/>
        <w:gridCol w:w="2870"/>
        <w:gridCol w:w="1559"/>
        <w:gridCol w:w="1843"/>
        <w:gridCol w:w="2692"/>
      </w:tblGrid>
      <w:tr>
        <w:trPr/>
        <w:tc>
          <w:tcPr>
            <w:tcW w:w="665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Arial Unicode MS" w:hAnsi="Arial Unicode MS"/>
                <w:sz w:val="28"/>
                <w:szCs w:val="28"/>
                <w:lang w:eastAsia="ru-RU" w:bidi="ru-RU"/>
              </w:rPr>
              <w:t>№</w:t>
            </w:r>
          </w:p>
        </w:tc>
        <w:tc>
          <w:tcPr>
            <w:tcW w:w="2870" w:type="dxa"/>
            <w:tcBorders/>
            <w:shd w:fill="auto" w:val="clear"/>
          </w:tcPr>
          <w:p>
            <w:pPr>
              <w:pStyle w:val="Style30"/>
              <w:widowControl w:val="false"/>
              <w:ind w:firstLine="46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Критерий</w:t>
            </w:r>
          </w:p>
        </w:tc>
        <w:tc>
          <w:tcPr>
            <w:tcW w:w="1559" w:type="dxa"/>
            <w:tcBorders/>
            <w:shd w:fill="auto" w:val="clear"/>
          </w:tcPr>
          <w:p>
            <w:pPr>
              <w:pStyle w:val="Style30"/>
              <w:widowControl w:val="false"/>
              <w:ind w:left="-100" w:right="-102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Допустимый балл оценки</w:t>
            </w:r>
          </w:p>
        </w:tc>
        <w:tc>
          <w:tcPr>
            <w:tcW w:w="1843" w:type="dxa"/>
            <w:tcBorders/>
            <w:shd w:fill="auto" w:val="clear"/>
          </w:tcPr>
          <w:p>
            <w:pPr>
              <w:pStyle w:val="Style30"/>
              <w:widowControl w:val="false"/>
              <w:ind w:left="-242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Балл оценки</w:t>
            </w:r>
          </w:p>
          <w:p>
            <w:pPr>
              <w:pStyle w:val="Style30"/>
              <w:widowControl w:val="false"/>
              <w:ind w:left="-242" w:right="-256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(или «Критерий </w:t>
            </w:r>
          </w:p>
          <w:p>
            <w:pPr>
              <w:pStyle w:val="Style30"/>
              <w:widowControl w:val="false"/>
              <w:ind w:left="-242" w:right="-256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не применим»)</w:t>
            </w:r>
          </w:p>
        </w:tc>
        <w:tc>
          <w:tcPr>
            <w:tcW w:w="269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Требование к определению баллов оценки</w:t>
            </w:r>
          </w:p>
        </w:tc>
      </w:tr>
    </w:tbl>
    <w:p>
      <w:pPr>
        <w:pStyle w:val="Style29"/>
        <w:spacing w:lineRule="auto" w:line="240"/>
        <w:jc w:val="center"/>
        <w:rPr>
          <w:sz w:val="2"/>
          <w:szCs w:val="28"/>
        </w:rPr>
      </w:pPr>
      <w:r>
        <w:rPr>
          <w:sz w:val="2"/>
          <w:szCs w:val="28"/>
        </w:rPr>
      </w:r>
    </w:p>
    <w:tbl>
      <w:tblPr>
        <w:tblStyle w:val="af0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0"/>
        <w:gridCol w:w="2826"/>
        <w:gridCol w:w="1568"/>
        <w:gridCol w:w="1"/>
        <w:gridCol w:w="1841"/>
        <w:gridCol w:w="2693"/>
      </w:tblGrid>
      <w:tr>
        <w:trPr>
          <w:tblHeader w:val="true"/>
        </w:trPr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2693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/>
                <w:sz w:val="28"/>
                <w:szCs w:val="28"/>
                <w:lang w:eastAsia="ru-RU" w:bidi="ru-RU"/>
              </w:rPr>
              <w:t>5</w:t>
            </w:r>
          </w:p>
        </w:tc>
      </w:tr>
      <w:tr>
        <w:trPr/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Наличие четко сформулированной цели инвестиционного проекта с определением количественного показателя (показателей) результатов его осуществления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693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цель и задачи инвестиционного проекта, количественные показатели результатов реализации проекта в соответствии с паспортом инвестиционного проекта и обоснованием экономической целесообразности осуществления капитальных вложений</w:t>
            </w:r>
          </w:p>
        </w:tc>
      </w:tr>
      <w:tr>
        <w:trPr/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30"/>
              <w:widowControl w:val="false"/>
              <w:spacing w:lineRule="auto" w:line="240"/>
              <w:ind w:hanging="0"/>
              <w:jc w:val="left"/>
              <w:rPr>
                <w:rFonts w:ascii="Times New Roman" w:hAnsi="Times New Roman" w:eastAsia="Arial Unicode MS" w:cs="Arial Unicode MS"/>
                <w:szCs w:val="24"/>
                <w:lang w:eastAsia="ru-RU" w:bidi="ru-RU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Соответствие цели инвестиционного проекта приоритетам целям, определенным в Стратегии социально- экономического развития </w:t>
            </w:r>
            <w:bookmarkStart w:id="3" w:name="__DdeLink__1774_1214080161"/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bookmarkEnd w:id="3"/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, целям и задачам, определенным в соответствующей муниципальной программе  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693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приводятся наименование документа, приоритет и цели, которым соответствует цель реализации инвестиционного проекта</w:t>
            </w:r>
          </w:p>
        </w:tc>
      </w:tr>
      <w:tr>
        <w:trPr/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3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Комплексный подход к решению конкретной проблемы в рамках инвестиционного проекта во взаимосвязи с</w:t>
            </w:r>
          </w:p>
          <w:p>
            <w:pPr>
              <w:pStyle w:val="Style30"/>
              <w:widowControl w:val="false"/>
              <w:spacing w:lineRule="auto" w:line="240"/>
              <w:ind w:hanging="0"/>
              <w:jc w:val="left"/>
              <w:rPr>
                <w:szCs w:val="24"/>
                <w:lang w:eastAsia="ru-RU" w:bidi="ru-RU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мероприятиями муниципальных программ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693" w:type="dxa"/>
            <w:tcBorders/>
            <w:shd w:fill="auto" w:val="clear"/>
          </w:tcPr>
          <w:p>
            <w:pPr>
              <w:pStyle w:val="Style30"/>
              <w:widowControl w:val="false"/>
              <w:tabs>
                <w:tab w:val="clear" w:pos="708"/>
                <w:tab w:val="left" w:pos="1349" w:leader="none"/>
                <w:tab w:val="left" w:pos="1824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для инвестиционных проектов, реализуемых в рамках достижения целей муниципальных программ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(муниципальных нормативных правовых актов), указываются цели, задачи, конкретные программные мероприятия, достижение и реализацию которых обеспечивает осуществление инвестиционного проекта. Для инвестиционных проектов, реализуемых в рамках непрограммных направлений деятельности, указываются реквизиты документа о предоставлении бюджетных ассигнований на реализацию инвестиционного проекта</w:t>
            </w:r>
          </w:p>
        </w:tc>
      </w:tr>
      <w:tr>
        <w:trPr/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Cs w:val="24"/>
                <w:lang w:eastAsia="ru-RU" w:bidi="ru-RU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Необходимость строительства, реконструкции, в том числе с элементами реставрации, технического перевооружения объекта капитального строительства либо необходимость приобретения объекта недвижимого имущества, создаваемого приобретаемого) в замках инвестиционного проекта, в связи с осуществлением соответствующими органами местного самоуправления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полномочий, предусмотренных законодательством Российской Федерации, отнесенных к их компетенции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693" w:type="dxa"/>
            <w:tcBorders/>
            <w:shd w:fill="auto" w:val="clear"/>
          </w:tcPr>
          <w:p>
            <w:pPr>
              <w:pStyle w:val="Style30"/>
              <w:widowControl w:val="false"/>
              <w:tabs>
                <w:tab w:val="clear" w:pos="708"/>
                <w:tab w:val="left" w:pos="331" w:leader="none"/>
              </w:tabs>
              <w:ind w:hanging="0"/>
              <w:jc w:val="left"/>
              <w:rPr>
                <w:szCs w:val="24"/>
                <w:lang w:eastAsia="ru-RU" w:bidi="ru-RU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1. Обоснование необходимости строительства (реконструкции, в том числе с элементами реставрации, технического перевооружения) объекта капитального строительства либо необходимости приобретения объекта недвижимого имущества в связи с осуществлением соответствующими органами местного самоуправления (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полномочий, отнесенных к предмету их ведения</w:t>
            </w:r>
          </w:p>
          <w:p>
            <w:pPr>
              <w:pStyle w:val="Style30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31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Обоснование нецелесообразности или невозможности строительства объекта капитального строительства (в случае приобретения объекта «движимого имущества).</w:t>
            </w:r>
          </w:p>
          <w:p>
            <w:pPr>
              <w:pStyle w:val="Style30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31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Обоснование выбора данного объекта недвижимого имущества (в случае приобретения конкретного объекта недвижимого имущества).</w:t>
            </w:r>
          </w:p>
          <w:p>
            <w:pPr>
              <w:pStyle w:val="Style30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65" w:leader="none"/>
              </w:tabs>
              <w:ind w:hanging="0"/>
              <w:jc w:val="left"/>
              <w:rPr>
                <w:szCs w:val="24"/>
                <w:lang w:eastAsia="ru-RU" w:bidi="ru-RU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Подтверждение управлением имущественных отношений администрации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об отсутствии в казне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объекта недвижимого имущества, пригодного для использования его в целях, для которых он приобретается (в случае приобретения объекта недвижимого имущества в муниципальную собственность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).</w:t>
            </w:r>
          </w:p>
          <w:p>
            <w:pPr>
              <w:pStyle w:val="Style30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239" w:leader="none"/>
              </w:tabs>
              <w:ind w:hanging="0"/>
              <w:jc w:val="left"/>
              <w:rPr>
                <w:szCs w:val="24"/>
                <w:lang w:eastAsia="ru-RU" w:bidi="ru-RU"/>
              </w:rPr>
            </w:pP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Обоснование нецелесообразности или невозможности получения такого объекта во владение и пользование по договору аренды (в случае приобретения объекта недвижимого имущества в муниципальную собственность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)</w:t>
            </w:r>
          </w:p>
        </w:tc>
      </w:tr>
      <w:tr>
        <w:trPr/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5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Отсутствие в достаточном объеме замещающей продукции (работ и услуг), производимой иными организациями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693" w:type="dxa"/>
            <w:tcBorders/>
            <w:shd w:fill="auto" w:val="clear"/>
          </w:tcPr>
          <w:p>
            <w:pPr>
              <w:pStyle w:val="Style30"/>
              <w:widowControl w:val="false"/>
              <w:ind w:right="-113"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указываются объемы, основные характеристики продукции (работ, услуг), не имеющей мировых и отечественных аналогов, либо замещаемой импортируемой продукции;</w:t>
            </w:r>
          </w:p>
          <w:p>
            <w:pPr>
              <w:pStyle w:val="Style30"/>
              <w:widowControl w:val="false"/>
              <w:ind w:right="-113"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объемы производства, основные характеристики, наименование и месторасположение производителя замещающей продукции (работ и услуг)</w:t>
            </w:r>
          </w:p>
        </w:tc>
      </w:tr>
      <w:tr>
        <w:trPr/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rFonts w:ascii="Times New Roman" w:hAnsi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Обоснование необходимости реализации инвестиционного проекта с привлечением средств бюджета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«критерий не применим»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693" w:type="dxa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tabs>
                <w:tab w:val="clear" w:pos="708"/>
                <w:tab w:val="left" w:pos="163" w:leader="none"/>
              </w:tabs>
              <w:ind w:hanging="0"/>
              <w:jc w:val="left"/>
              <w:rPr>
                <w:rFonts w:ascii="Times New Roman" w:hAnsi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1. Указываются наименование муниципальной программы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, (муниципального нормативного правового акта), в рамках достижения целей которой(ого) планируется реализовывать инвестиционный проект, или реквизиты поручения главы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, а также соответствующих решений по объектам, реализуемых в рамках непрограммных направлений деятельности.</w:t>
            </w:r>
          </w:p>
          <w:p>
            <w:pPr>
              <w:pStyle w:val="Style30"/>
              <w:widowControl w:val="false"/>
              <w:tabs>
                <w:tab w:val="clear" w:pos="708"/>
                <w:tab w:val="left" w:pos="163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2. Реквизиты документов договоров, протоколов, соглашений и т.п.), подтверждающих намерения участников инвестиционного проекта о его софинансировании с указанием планируемого объема капитальных вложений со стороны каждого участника. Приводятся объемы и сроки финансирования (софинансирования)</w:t>
            </w:r>
          </w:p>
        </w:tc>
      </w:tr>
      <w:tr>
        <w:trPr/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7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rFonts w:ascii="Times New Roman" w:hAnsi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Наличие муниципальных программ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 и муниципальных нормативных правовых актов, реализуемых за счет средств бюджета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,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 муниципальной собственности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, либо приобретение объектов недвижимого имущества в муниципальную собственность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, осуществляемых в замках инвестиционных проектов, или решений органов местного самоуправления о строительстве, приобретении в муниципальную собственность объектов капитального строительства, объектов недвижимого имущества, содержащих сведения о ресурсном обеспечении, мощности и сроках реализации инвестиционного проекта в отношении объекта капитального строительства, объекта недвижимого имущества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«критерий не применим»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693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rFonts w:ascii="Times New Roman" w:hAnsi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1. Указывается наименование муниципальной программы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, реализуемой за счет средств бюджета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, дата ее утверждения или реквизиты соответствующих решений органов местного самоуправления.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2. Реквизиты документов (договоров, протоколов, соглашений, писем главных распорядителей бюджетных средств и т.п.), подтверждающих решение участников проекта о его финансировании (софинансировании) с указанием намечаемого объема капитальных вложений со стороны каждого участника</w:t>
            </w:r>
          </w:p>
        </w:tc>
      </w:tr>
      <w:tr>
        <w:trPr>
          <w:cantSplit w:val="true"/>
        </w:trPr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8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«критерий не применим»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693" w:type="dxa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22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Наличие обоснования невозможности достижения цели и результатов реализации проекта без использования дорогостоящих строительных материалов, художественных изделий для отделки интерьеров и фасада, машин и оборудования.</w:t>
            </w:r>
          </w:p>
          <w:p>
            <w:pPr>
              <w:pStyle w:val="Style30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322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Документально подтвержденные данные по проекту-аналогу</w:t>
            </w:r>
          </w:p>
          <w:p>
            <w:pPr>
              <w:pStyle w:val="Style30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168" w:leader="none"/>
                <w:tab w:val="left" w:pos="322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Обоснование необходимости приобретения такого объекта недвижимого имущества, строительство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</w:t>
            </w:r>
          </w:p>
        </w:tc>
      </w:tr>
      <w:tr>
        <w:trPr/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9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Наличие положительного заключения государственной экспертизы проектной документации и результатов инженерных изысканий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«критерий не применим»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693" w:type="dxa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tabs>
                <w:tab w:val="clear" w:pos="708"/>
                <w:tab w:val="left" w:pos="286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1. Реквизиты положительного заключения государственной экспертизы проектной документации и результатов инженерных изысканий (в случае ее необходимости согласно законодательству Российской Федерации).</w:t>
            </w:r>
          </w:p>
          <w:p>
            <w:pPr>
              <w:pStyle w:val="Style30"/>
              <w:widowControl w:val="false"/>
              <w:tabs>
                <w:tab w:val="clear" w:pos="708"/>
                <w:tab w:val="left" w:pos="286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2. В случае если проведение государственной экспертизы проектной документации не требуется:</w:t>
            </w:r>
          </w:p>
          <w:p>
            <w:pPr>
              <w:pStyle w:val="Style30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68" w:leader="none"/>
                <w:tab w:val="left" w:pos="286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ссылка на соответствующие пункты и подпункты статьи 49 Градостроительного кодекса Российской Федерации;</w:t>
            </w:r>
          </w:p>
          <w:p>
            <w:pPr>
              <w:pStyle w:val="Style30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68" w:leader="none"/>
                <w:tab w:val="left" w:pos="286" w:leader="none"/>
              </w:tabs>
              <w:ind w:hanging="0"/>
              <w:jc w:val="left"/>
              <w:rPr>
                <w:rFonts w:ascii="Times New Roman" w:hAnsi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документальное подтверждение наличия согласования задания на разработку проектной документации с главным распорядителем бюджетных средств или в случае принятия решения о реализации инвестиционного проекта несколькими главными распорядителями бюджетных средств - согласование с управлением капитального строительства администрации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</w:p>
        </w:tc>
      </w:tr>
      <w:tr>
        <w:trPr/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10</w:t>
            </w:r>
          </w:p>
        </w:tc>
        <w:tc>
          <w:tcPr>
            <w:tcW w:w="28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Обоснование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 назначению и проектной мощности, природным и иным условиям территории, на которой планируется осуществлять строительство, информация о которой включена в единый государственный реестр заключений экспертизы проектной документации объектов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rFonts w:ascii="Times New Roman" w:hAnsi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капитального строительства, в отношении объектов капитального строительства, указанных в абзаце втором подпункта 1 и абзаце втором подпункта 3 пункта 1.3 Правил проведения проверки инвестиционных проектов на предмет эффективности использования средств бюджета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, направляемых на капитальные вложения, утвержденных настоящим постановлением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693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1. Обоснование нецелесообразности и невозможности применения экономически эффективной проектной документации повторного использования в случаях, установленных статьей 48.2 Градостроительного кодекса Российской Федерации. 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2. В случае если критерий не применим в связи с использованием экономически эффективной проектной документации повторного использования - реквизиты этой документации</w:t>
            </w:r>
          </w:p>
        </w:tc>
      </w:tr>
      <w:tr>
        <w:trPr>
          <w:trHeight w:val="1071" w:hRule="atLeast"/>
        </w:trPr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826" w:type="dxa"/>
            <w:tcBorders/>
            <w:shd w:fill="auto" w:val="clear"/>
            <w:vAlign w:val="center"/>
          </w:tcPr>
          <w:p>
            <w:pPr>
              <w:pStyle w:val="Style29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vertAlign w:val="subscript"/>
                <w:lang w:val="en-US" w:eastAsia="ru-RU" w:bidi="ru-RU"/>
              </w:rPr>
              <w:t>i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vertAlign w:val="subscript"/>
                <w:lang w:eastAsia="ru-RU" w:bidi="ru-RU"/>
              </w:rPr>
              <w:t xml:space="preserve"> 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= 10</w:t>
            </w:r>
          </w:p>
        </w:tc>
        <w:tc>
          <w:tcPr>
            <w:tcW w:w="1568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 w:bidi="ru-RU"/>
              </w:rPr>
            </w:r>
            <m:oMath xmlns:m="http://schemas.openxmlformats.org/officeDocument/2006/math"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i</m:t>
                  </m:r>
                </m:sup>
                <m:e>
                  <m:sSub>
                    <m:e>
                      <m:r>
                        <w:rPr>
                          <w:rFonts w:ascii="Cambria Math" w:hAnsi="Cambria Math"/>
                        </w:rPr>
                        <m:t xml:space="preserve"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нп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=</m:t>
                  </m:r>
                </m:e>
              </m:nary>
            </m:oMath>
          </w:p>
        </w:tc>
        <w:tc>
          <w:tcPr>
            <w:tcW w:w="1842" w:type="dxa"/>
            <w:gridSpan w:val="2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 w:bidi="ru-RU"/>
              </w:rPr>
            </w:r>
            <m:oMath xmlns:m="http://schemas.openxmlformats.org/officeDocument/2006/math"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i</m:t>
                  </m:r>
                </m:sup>
                <m:e>
                  <m:sSub>
                    <m:e>
                      <m:r>
                        <w:rPr>
                          <w:rFonts w:ascii="Cambria Math" w:hAnsi="Cambria Math"/>
                        </w:rPr>
                        <m:t xml:space="preserve">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=</m:t>
                  </m:r>
                </m:e>
              </m:nary>
            </m:oMath>
          </w:p>
        </w:tc>
        <w:tc>
          <w:tcPr>
            <w:tcW w:w="2693" w:type="dxa"/>
            <w:tcBorders/>
            <w:shd w:fill="auto" w:val="clear"/>
            <w:vAlign w:val="cente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х</w:t>
            </w:r>
          </w:p>
        </w:tc>
      </w:tr>
      <w:tr>
        <w:trPr/>
        <w:tc>
          <w:tcPr>
            <w:tcW w:w="70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4395" w:type="dxa"/>
            <w:gridSpan w:val="3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left"/>
              <w:rPr>
                <w:rFonts w:ascii="Times New Roman" w:hAnsi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Оценка эффективности использования средств бюджета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, направляемых на капитальные вложения, на основе качественных критериев - </w:t>
            </w:r>
            <w:r>
              <w:rPr>
                <w:rFonts w:ascii="Times New Roman" w:hAnsi="Times New Roman"/>
                <w:sz w:val="26"/>
                <w:szCs w:val="26"/>
                <w:lang w:eastAsia="ru-RU" w:bidi="ru-RU"/>
              </w:rPr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Э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кач</m:t>
                  </m:r>
                </m:sub>
              </m:sSub>
            </m:oMath>
          </w:p>
        </w:tc>
        <w:tc>
          <w:tcPr>
            <w:tcW w:w="4534" w:type="dxa"/>
            <w:gridSpan w:val="2"/>
            <w:tcBorders/>
            <w:shd w:fill="auto" w:val="clear"/>
            <w:vAlign w:val="cente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 w:bidi="ru-RU"/>
              </w:rPr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Э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кач</m:t>
                  </m:r>
                </m:sub>
              </m:sSub>
              <m:r>
                <w:rPr>
                  <w:rFonts w:ascii="Cambria Math" w:hAnsi="Cambria Math"/>
                </w:rPr>
                <m:t xml:space="preserve">=</m:t>
              </m:r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i</m:t>
                  </m:r>
                </m:sup>
                <m:e>
                  <m:sSub>
                    <m:e>
                      <m:r>
                        <w:rPr>
                          <w:rFonts w:ascii="Cambria Math" w:hAnsi="Cambria Math"/>
                        </w:rPr>
                        <m:t xml:space="preserve">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i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 xml:space="preserve">×</m:t>
              </m:r>
              <m:r>
                <w:rPr>
                  <w:rFonts w:ascii="Cambria Math" w:hAnsi="Cambria Math"/>
                </w:rPr>
                <m:t xml:space="preserve">100</m:t>
              </m:r>
              <m:r>
                <m:rPr>
                  <m:lit/>
                  <m:nor/>
                </m:rPr>
                <w:rPr>
                  <w:rFonts w:ascii="Cambria Math" w:hAnsi="Cambria Math"/>
                </w:rPr>
                <m:t xml:space="preserve">%</m:t>
              </m:r>
              <m:r>
                <w:rPr>
                  <w:rFonts w:ascii="Cambria Math" w:hAnsi="Cambria Math"/>
                </w:rPr>
                <m:t xml:space="preserve">÷</m:t>
              </m:r>
              <m:d>
                <m:dPr>
                  <m:begChr m:val="("/>
                  <m:endChr m:val=")"/>
                </m:dPr>
                <m:e>
                  <m:sSub>
                    <m:e>
                      <m:r>
                        <w:rPr>
                          <w:rFonts w:ascii="Cambria Math" w:hAnsi="Cambria Math"/>
                        </w:rPr>
                        <m:t xml:space="preserve"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−</m:t>
                  </m:r>
                  <m:sSub>
                    <m:e>
                      <m:r>
                        <w:rPr>
                          <w:rFonts w:ascii="Cambria Math" w:hAnsi="Cambria Math"/>
                        </w:rPr>
                        <m:t xml:space="preserve"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нп</m:t>
                      </m:r>
                    </m:sub>
                  </m:sSub>
                </m:e>
              </m:d>
            </m:oMath>
          </w:p>
        </w:tc>
      </w:tr>
    </w:tbl>
    <w:p>
      <w:pPr>
        <w:pStyle w:val="Style29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9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2. Оценка соответствия инвестиционного проекта </w:t>
      </w:r>
    </w:p>
    <w:p>
      <w:pPr>
        <w:pStyle w:val="Style29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количественным критериям</w:t>
      </w:r>
    </w:p>
    <w:p>
      <w:pPr>
        <w:pStyle w:val="Style29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f0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0"/>
        <w:gridCol w:w="2268"/>
        <w:gridCol w:w="1274"/>
        <w:gridCol w:w="851"/>
        <w:gridCol w:w="1274"/>
        <w:gridCol w:w="1275"/>
        <w:gridCol w:w="2126"/>
      </w:tblGrid>
      <w:tr>
        <w:trPr>
          <w:trHeight w:val="1730" w:hRule="exact"/>
        </w:trPr>
        <w:tc>
          <w:tcPr>
            <w:tcW w:w="560" w:type="dxa"/>
            <w:tcBorders/>
            <w:shd w:fill="auto" w:val="clear"/>
          </w:tcPr>
          <w:p>
            <w:pPr>
              <w:pStyle w:val="Style29"/>
              <w:widowControl w:val="false"/>
              <w:ind w:hanging="0"/>
              <w:jc w:val="center"/>
              <w:rPr>
                <w:rFonts w:ascii="Times New Roman" w:hAnsi="Times New Roman"/>
                <w:szCs w:val="24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№</w:t>
            </w:r>
          </w:p>
        </w:tc>
        <w:tc>
          <w:tcPr>
            <w:tcW w:w="2268" w:type="dxa"/>
            <w:tcBorders/>
            <w:shd w:fill="auto" w:val="clear"/>
          </w:tcPr>
          <w:p>
            <w:pPr>
              <w:pStyle w:val="Style29"/>
              <w:widowControl w:val="false"/>
              <w:ind w:hanging="0"/>
              <w:jc w:val="center"/>
              <w:rPr>
                <w:rFonts w:ascii="Times New Roman" w:hAnsi="Times New Roman"/>
                <w:szCs w:val="24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Критерий</w:t>
            </w:r>
          </w:p>
        </w:tc>
        <w:tc>
          <w:tcPr>
            <w:tcW w:w="1274" w:type="dxa"/>
            <w:tcBorders/>
            <w:shd w:fill="auto" w:val="clear"/>
          </w:tcPr>
          <w:p>
            <w:pPr>
              <w:pStyle w:val="Style29"/>
              <w:widowControl w:val="false"/>
              <w:ind w:hanging="0"/>
              <w:jc w:val="center"/>
              <w:rPr>
                <w:rFonts w:ascii="Times New Roman" w:hAnsi="Times New Roman"/>
                <w:szCs w:val="24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Допус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val="en-US" w:eastAsia="ru-RU" w:bidi="ru-RU"/>
              </w:rPr>
              <w:t>-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тимые баллы оценки</w:t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Style29"/>
              <w:widowControl w:val="false"/>
              <w:ind w:hanging="0"/>
              <w:jc w:val="center"/>
              <w:rPr>
                <w:rFonts w:ascii="Times New Roman" w:hAnsi="Times New Roman"/>
                <w:szCs w:val="24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Балл оцен-ки Б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vertAlign w:val="subscript"/>
                <w:lang w:val="en-US" w:eastAsia="ru-RU" w:bidi="ru-RU"/>
              </w:rPr>
              <w:t>i</w:t>
            </w:r>
          </w:p>
        </w:tc>
        <w:tc>
          <w:tcPr>
            <w:tcW w:w="1274" w:type="dxa"/>
            <w:tcBorders/>
            <w:shd w:fill="auto" w:val="clear"/>
          </w:tcPr>
          <w:p>
            <w:pPr>
              <w:pStyle w:val="Style29"/>
              <w:widowControl w:val="false"/>
              <w:ind w:hanging="0"/>
              <w:jc w:val="center"/>
              <w:rPr>
                <w:rFonts w:ascii="Times New Roman" w:hAnsi="Times New Roman"/>
                <w:szCs w:val="24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Весовой коэффи-циент критерия В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vertAlign w:val="subscript"/>
                <w:lang w:val="en-US" w:eastAsia="ru-RU" w:bidi="ru-RU"/>
              </w:rPr>
              <w:t>i</w:t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Style29"/>
              <w:widowControl w:val="false"/>
              <w:ind w:left="-107" w:right="-103" w:hanging="0"/>
              <w:jc w:val="center"/>
              <w:rPr>
                <w:rFonts w:ascii="Times New Roman" w:hAnsi="Times New Roman"/>
                <w:szCs w:val="24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Средневз-вешенный балл</w:t>
            </w:r>
          </w:p>
          <w:p>
            <w:pPr>
              <w:pStyle w:val="Style29"/>
              <w:widowControl w:val="false"/>
              <w:ind w:left="-107" w:hanging="0"/>
              <w:jc w:val="center"/>
              <w:rPr>
                <w:rFonts w:ascii="Times New Roman" w:hAnsi="Times New Roman"/>
                <w:szCs w:val="24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Б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vertAlign w:val="subscript"/>
                <w:lang w:val="en-US" w:eastAsia="ru-RU" w:bidi="ru-RU"/>
              </w:rPr>
              <w:t>i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 х В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vertAlign w:val="subscript"/>
                <w:lang w:val="en-US" w:eastAsia="ru-RU" w:bidi="ru-RU"/>
              </w:rPr>
              <w:t>i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, %</w:t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Style29"/>
              <w:widowControl w:val="false"/>
              <w:ind w:hanging="0"/>
              <w:jc w:val="center"/>
              <w:rPr>
                <w:rFonts w:ascii="Times New Roman" w:hAnsi="Times New Roman"/>
                <w:szCs w:val="24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Ссылки на документальные подтверждения</w:t>
            </w:r>
          </w:p>
        </w:tc>
      </w:tr>
    </w:tbl>
    <w:p>
      <w:pPr>
        <w:pStyle w:val="Style29"/>
        <w:spacing w:lineRule="auto" w:line="240"/>
        <w:jc w:val="center"/>
        <w:rPr>
          <w:sz w:val="2"/>
          <w:szCs w:val="28"/>
        </w:rPr>
      </w:pPr>
      <w:r>
        <w:rPr>
          <w:sz w:val="2"/>
          <w:szCs w:val="28"/>
        </w:rPr>
      </w:r>
    </w:p>
    <w:tbl>
      <w:tblPr>
        <w:tblStyle w:val="af0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0"/>
        <w:gridCol w:w="2268"/>
        <w:gridCol w:w="1274"/>
        <w:gridCol w:w="851"/>
        <w:gridCol w:w="2"/>
        <w:gridCol w:w="1272"/>
        <w:gridCol w:w="1275"/>
        <w:gridCol w:w="2126"/>
      </w:tblGrid>
      <w:tr>
        <w:trPr>
          <w:tblHeader w:val="true"/>
        </w:trPr>
        <w:tc>
          <w:tcPr>
            <w:tcW w:w="56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2268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1274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3</w:t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1274" w:type="dxa"/>
            <w:gridSpan w:val="2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5</w:t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7</w:t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val="en-US" w:eastAsia="ru-RU" w:bidi="ru-RU"/>
              </w:rPr>
              <w:t>1</w:t>
            </w:r>
          </w:p>
        </w:tc>
        <w:tc>
          <w:tcPr>
            <w:tcW w:w="2268" w:type="dxa"/>
            <w:tcBorders/>
            <w:shd w:fill="auto" w:val="clear"/>
          </w:tcPr>
          <w:p>
            <w:pPr>
              <w:pStyle w:val="Style30"/>
              <w:widowControl w:val="false"/>
              <w:ind w:left="35" w:right="-107"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Значение количественных показателей (показателя) результатов реализации инвестиционно-го проекта</w:t>
            </w:r>
          </w:p>
        </w:tc>
        <w:tc>
          <w:tcPr>
            <w:tcW w:w="1274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Значения количественных показателей, результатов реализации проекта в соответствии с паспортом инвестиционно-го проекта</w:t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val="en-US" w:eastAsia="ru-RU" w:bidi="ru-RU"/>
              </w:rPr>
              <w:t>2</w:t>
            </w:r>
          </w:p>
        </w:tc>
        <w:tc>
          <w:tcPr>
            <w:tcW w:w="22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274" w:type="dxa"/>
            <w:tcBorders/>
            <w:shd w:fill="auto" w:val="clear"/>
          </w:tcPr>
          <w:p>
            <w:pPr>
              <w:pStyle w:val="Style30"/>
              <w:widowControl w:val="false"/>
              <w:ind w:left="-102" w:right="-101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left="-102" w:right="-101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0,5;</w:t>
            </w:r>
          </w:p>
          <w:p>
            <w:pPr>
              <w:pStyle w:val="Style30"/>
              <w:widowControl w:val="false"/>
              <w:ind w:left="-102" w:right="-101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 критерий не применим</w:t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19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Основные сведения и технико</w:t>
              <w:softHyphen/>
              <w:t>экономические показатели проекта- аналога, реализуемого (или реализованного) в Российской Федерации по месту расположения земельного участка, на котором будет расположен (располагается) планируемый объект капитального строительства, или (в случае отсутствия проектов-аналогов, реализуемых на территории Российской Федерации) в иностранном государстве.</w:t>
            </w:r>
          </w:p>
          <w:p>
            <w:pPr>
              <w:pStyle w:val="Style30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168" w:leader="none"/>
                <w:tab w:val="left" w:pos="319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Рыночная стоимость приобретаемого объекта недвижимого имущества, указанная в отчете об оценке данного объекта, составленном в порядке, предусмотрен-ном законода-тельством Российской Федерации об оценочной деятельности (в случае приобретения объекта недвижимого имущества).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реквизиты положительного заключения государственной экспертизы проектной документации в части проверки достоверности определения сметной стоимости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строительства объектов</w:t>
            </w:r>
          </w:p>
          <w:p>
            <w:pPr>
              <w:pStyle w:val="Style30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168" w:leader="none"/>
                <w:tab w:val="left" w:pos="319" w:leader="none"/>
              </w:tabs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Капитального строительства в случаях, установленных частью 2 статьи 8.3 Градострои-тельного кодекса Российской Федерации</w:t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3</w:t>
            </w:r>
          </w:p>
        </w:tc>
        <w:tc>
          <w:tcPr>
            <w:tcW w:w="22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</w:t>
            </w:r>
          </w:p>
        </w:tc>
        <w:tc>
          <w:tcPr>
            <w:tcW w:w="1274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0,5;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Обоснование спроса (потребности) на услуги (продукцию), создаваемые в результате реализации инвестиционно-го проекта, для обеспечения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проектируемого (нормативного) уровня использования проектной мощности объекта (мощности приобретаемого объекта недвижимого имущества)</w:t>
            </w:r>
          </w:p>
        </w:tc>
      </w:tr>
      <w:tr>
        <w:trPr>
          <w:cantSplit w:val="true"/>
        </w:trPr>
        <w:tc>
          <w:tcPr>
            <w:tcW w:w="56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22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Отношение проектной мощности создаваемого (реконструируе-мого ) объекта капитального строительства (мощности приобретаемого объекта недвижимого имущества) к мощности, необходимой для обеспечения производства продукции (услуг) в объеме, предусмотрен-ном для муниципальных нужд</w:t>
            </w:r>
          </w:p>
        </w:tc>
        <w:tc>
          <w:tcPr>
            <w:tcW w:w="1274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приводятся документально подтвержденные данные о мощности, необходимой для производства продукции (услуг) в объеме, предусмотрен-ном для обеспечения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муниципальных нужд</w:t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5</w:t>
            </w:r>
          </w:p>
        </w:tc>
        <w:tc>
          <w:tcPr>
            <w:tcW w:w="22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Обеспечение планируемого объекта капитального строительства объекта недвижимого имущества) инженерной и транспортной инфраструктурами в объемах, достаточных для реализации инвестиционного проекта</w:t>
            </w:r>
          </w:p>
        </w:tc>
        <w:tc>
          <w:tcPr>
            <w:tcW w:w="1274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0,5;</w:t>
            </w:r>
          </w:p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0</w:t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Обоснование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планируемого обеспечения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создаваемого (реконструиру-емого) объекта капитального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строительства (приобретаемого объекта недвижимого имущества) инженерной и транспортной инфраструкту-рами в объемах, достаточных для реализации инвестиционно-го проекта</w:t>
            </w:r>
          </w:p>
        </w:tc>
      </w:tr>
      <w:tr>
        <w:trPr/>
        <w:tc>
          <w:tcPr>
            <w:tcW w:w="56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2268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Наличие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установленных частью 2 статьи 8(3) Градострои-тельного кодекса Российской Федерации</w:t>
            </w:r>
          </w:p>
        </w:tc>
        <w:tc>
          <w:tcPr>
            <w:tcW w:w="1274" w:type="dxa"/>
            <w:tcBorders/>
            <w:shd w:fill="auto" w:val="clear"/>
          </w:tcPr>
          <w:p>
            <w:pPr>
              <w:pStyle w:val="Style30"/>
              <w:widowControl w:val="false"/>
              <w:ind w:left="-104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1;</w:t>
            </w:r>
          </w:p>
          <w:p>
            <w:pPr>
              <w:pStyle w:val="Style30"/>
              <w:widowControl w:val="false"/>
              <w:ind w:left="-104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критерий не применим</w:t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4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12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Сметная стоимость и реквизиты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установленных частью 2 статьи 8.3 Градострои-тельного кодекса Российской Федерации. Критерий не применим в отношении инвестиционных проектов, к которым применяется количественный критерий, предусмотрен-ный подпунктом 2 пункта 2.2 Правил проведения проверки инвестиционных проектов на предмет эффективности использования средств бюджета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, направляемых на капитальные вложения, утвержденных настоящим постановлением</w:t>
            </w:r>
          </w:p>
        </w:tc>
      </w:tr>
      <w:tr>
        <w:trPr>
          <w:trHeight w:val="771" w:hRule="atLeast"/>
        </w:trPr>
        <w:tc>
          <w:tcPr>
            <w:tcW w:w="560" w:type="dxa"/>
            <w:tcBorders/>
            <w:shd w:fill="auto" w:val="clea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4395" w:type="dxa"/>
            <w:gridSpan w:val="4"/>
            <w:tcBorders/>
            <w:shd w:fill="auto" w:val="clear"/>
          </w:tcPr>
          <w:p>
            <w:pPr>
              <w:pStyle w:val="Style29"/>
              <w:widowControl w:val="false"/>
              <w:ind w:hanging="0"/>
              <w:jc w:val="left"/>
              <w:rPr>
                <w:rFonts w:ascii="Times New Roman" w:hAnsi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Оценка эффективности использования средств бюджета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, направляемых на капитальные вложения, на основе количественных критериев – Э</w:t>
            </w:r>
            <w:r>
              <w:rPr>
                <w:rFonts w:eastAsia="Arial Unicode MS" w:cs="Arial Unicode MS" w:ascii="Times New Roman" w:hAnsi="Times New Roman"/>
                <w:sz w:val="26"/>
                <w:szCs w:val="26"/>
                <w:vertAlign w:val="subscript"/>
                <w:lang w:eastAsia="ru-RU" w:bidi="ru-RU"/>
              </w:rPr>
              <w:t>колич</w:t>
            </w:r>
          </w:p>
        </w:tc>
        <w:tc>
          <w:tcPr>
            <w:tcW w:w="4673" w:type="dxa"/>
            <w:gridSpan w:val="3"/>
            <w:tcBorders/>
            <w:shd w:fill="auto" w:val="clear"/>
            <w:vAlign w:val="center"/>
          </w:tcPr>
          <w:p>
            <w:pPr>
              <w:pStyle w:val="Style29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 w:bidi="ru-RU"/>
              </w:rPr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Э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колич</m:t>
                  </m:r>
                </m:sub>
              </m:sSub>
              <m:r>
                <w:rPr>
                  <w:rFonts w:ascii="Cambria Math" w:hAnsi="Cambria Math"/>
                </w:rPr>
                <m:t xml:space="preserve">=</m:t>
              </m:r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i</m:t>
                  </m:r>
                </m:sup>
                <m:e>
                  <m:sSub>
                    <m:e>
                      <m:r>
                        <w:rPr>
                          <w:rFonts w:ascii="Cambria Math" w:hAnsi="Cambria Math"/>
                        </w:rPr>
                        <m:t xml:space="preserve">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×</m:t>
                  </m:r>
                  <m:sSub>
                    <m:e>
                      <m:r>
                        <w:rPr>
                          <w:rFonts w:ascii="Cambria Math" w:hAnsi="Cambria Math"/>
                        </w:rPr>
                        <m:t xml:space="preserve">в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i</m:t>
                      </m:r>
                    </m:sub>
                  </m:sSub>
                </m:e>
              </m:nary>
            </m:oMath>
          </w:p>
        </w:tc>
      </w:tr>
    </w:tbl>
    <w:p>
      <w:pPr>
        <w:pStyle w:val="Style29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9"/>
        <w:spacing w:lineRule="auto" w:line="240"/>
        <w:ind w:left="998" w:hanging="0"/>
        <w:jc w:val="center"/>
        <w:rPr>
          <w:sz w:val="28"/>
          <w:szCs w:val="28"/>
        </w:rPr>
      </w:pPr>
      <w:r>
        <w:rPr>
          <w:sz w:val="28"/>
          <w:szCs w:val="28"/>
        </w:rPr>
        <w:t>Таблица 3. Расчет интегральной оценки эффективности</w:t>
      </w:r>
    </w:p>
    <w:p>
      <w:pPr>
        <w:pStyle w:val="Style29"/>
        <w:spacing w:lineRule="auto" w:line="240"/>
        <w:ind w:left="998" w:hanging="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454" w:type="dxa"/>
        <w:jc w:val="center"/>
        <w:tblInd w:w="0" w:type="dxa"/>
        <w:tblCellMar>
          <w:top w:w="0" w:type="dxa"/>
          <w:left w:w="10" w:type="dxa"/>
          <w:bottom w:w="0" w:type="dxa"/>
          <w:right w:w="10" w:type="dxa"/>
        </w:tblCellMar>
        <w:tblLook w:val="0000" w:noVBand="0" w:noHBand="0" w:lastColumn="0" w:firstColumn="0" w:lastRow="0" w:firstRow="0"/>
      </w:tblPr>
      <w:tblGrid>
        <w:gridCol w:w="4104"/>
        <w:gridCol w:w="3826"/>
        <w:gridCol w:w="1524"/>
      </w:tblGrid>
      <w:tr>
        <w:trPr>
          <w:trHeight w:val="591" w:hRule="exact"/>
        </w:trPr>
        <w:tc>
          <w:tcPr>
            <w:tcW w:w="4104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</w:tcPr>
          <w:p>
            <w:pPr>
              <w:pStyle w:val="Style3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Показатель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</w:tcPr>
          <w:p>
            <w:pPr>
              <w:pStyle w:val="Style3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 эффективности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ind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Весовой коэффициент</w:t>
            </w:r>
          </w:p>
        </w:tc>
      </w:tr>
      <w:tr>
        <w:trPr>
          <w:trHeight w:val="590" w:hRule="exact"/>
        </w:trPr>
        <w:tc>
          <w:tcPr>
            <w:tcW w:w="4104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</w:tcPr>
          <w:p>
            <w:pPr>
              <w:pStyle w:val="Style30"/>
              <w:ind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 эффективности на основе качественных критериев – Э</w:t>
            </w:r>
            <w:r>
              <w:rPr>
                <w:sz w:val="26"/>
                <w:szCs w:val="26"/>
                <w:vertAlign w:val="subscript"/>
              </w:rPr>
              <w:t>кач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0"/>
              <w:ind w:firstLine="4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</w:tr>
      <w:tr>
        <w:trPr>
          <w:trHeight w:val="600" w:hRule="exact"/>
        </w:trPr>
        <w:tc>
          <w:tcPr>
            <w:tcW w:w="4104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</w:tcPr>
          <w:p>
            <w:pPr>
              <w:pStyle w:val="Style30"/>
              <w:ind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Оценка эффективности на основе количественных критериев - Э</w:t>
            </w:r>
            <w:r>
              <w:rPr>
                <w:sz w:val="26"/>
                <w:szCs w:val="26"/>
                <w:vertAlign w:val="subscript"/>
              </w:rPr>
              <w:t>колич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0"/>
              <w:ind w:firstLine="4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</w:t>
            </w:r>
          </w:p>
        </w:tc>
      </w:tr>
      <w:tr>
        <w:trPr>
          <w:trHeight w:val="1921" w:hRule="exact"/>
        </w:trPr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yle30"/>
              <w:ind w:hanging="0"/>
              <w:rPr/>
            </w:pPr>
            <w:r>
              <w:rPr>
                <w:sz w:val="26"/>
                <w:szCs w:val="26"/>
              </w:rPr>
              <w:t xml:space="preserve">Интегральная оценка эффективности использования средств бюджета 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>Туапсинск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ого</w:t>
            </w:r>
            <w:r>
              <w:rPr>
                <w:rFonts w:eastAsia="Arial Unicode MS" w:cs="Arial Unicode MS"/>
                <w:sz w:val="26"/>
                <w:szCs w:val="26"/>
                <w:lang w:eastAsia="ru-RU" w:bidi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en-US" w:bidi="ar-SA"/>
              </w:rPr>
              <w:t>муниципального округа</w:t>
            </w:r>
            <w:r>
              <w:rPr>
                <w:sz w:val="26"/>
                <w:szCs w:val="26"/>
              </w:rPr>
              <w:t>, направляемых на капитальные вложения - Э</w:t>
            </w:r>
            <w:r>
              <w:rPr>
                <w:sz w:val="26"/>
                <w:szCs w:val="26"/>
                <w:vertAlign w:val="subscript"/>
              </w:rPr>
              <w:t>инт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30"/>
              <w:ind w:hanging="0"/>
              <w:jc w:val="center"/>
              <w:rPr>
                <w:sz w:val="26"/>
                <w:szCs w:val="26"/>
              </w:rPr>
            </w:pP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Э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инт</m:t>
                  </m:r>
                </m:sub>
              </m:sSub>
              <m:r>
                <w:rPr>
                  <w:rFonts w:ascii="Cambria Math" w:hAnsi="Cambria Math"/>
                </w:rPr>
                <m:t xml:space="preserve">=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Э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кач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r>
                <w:rPr>
                  <w:rFonts w:ascii="Cambria Math" w:hAnsi="Cambria Math"/>
                </w:rPr>
                <m:t xml:space="preserve">0</m:t>
              </m:r>
              <m:r>
                <w:rPr>
                  <w:rFonts w:ascii="Cambria Math" w:hAnsi="Cambria Math"/>
                </w:rPr>
                <m:t xml:space="preserve">,</m:t>
              </m:r>
              <m:r>
                <w:rPr>
                  <w:rFonts w:ascii="Cambria Math" w:hAnsi="Cambria Math"/>
                </w:rPr>
                <m:t xml:space="preserve">2</m:t>
              </m:r>
              <m:r>
                <w:rPr>
                  <w:rFonts w:ascii="Cambria Math" w:hAnsi="Cambria Math"/>
                </w:rPr>
                <m:t xml:space="preserve">+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Э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колич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r>
                <w:rPr>
                  <w:rFonts w:ascii="Cambria Math" w:hAnsi="Cambria Math"/>
                </w:rPr>
                <m:t xml:space="preserve">0</m:t>
              </m:r>
              <m:r>
                <w:rPr>
                  <w:rFonts w:ascii="Cambria Math" w:hAnsi="Cambria Math"/>
                </w:rPr>
                <m:t xml:space="preserve">,</m:t>
              </m:r>
              <m:r>
                <w:rPr>
                  <w:rFonts w:ascii="Cambria Math" w:hAnsi="Cambria Math"/>
                </w:rPr>
                <m:t xml:space="preserve">8</m:t>
              </m:r>
            </m:oMath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0"/>
              <w:ind w:firstLine="4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</w:tbl>
    <w:p>
      <w:pPr>
        <w:pStyle w:val="11"/>
        <w:ind w:firstLine="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firstLine="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firstLine="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firstLine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>
      <w:pPr>
        <w:pStyle w:val="11"/>
        <w:ind w:firstLine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экономического развития </w:t>
      </w:r>
    </w:p>
    <w:p>
      <w:pPr>
        <w:pStyle w:val="11"/>
        <w:ind w:firstLine="20"/>
        <w:jc w:val="both"/>
        <w:rPr/>
      </w:pPr>
      <w:r>
        <w:rPr>
          <w:sz w:val="28"/>
          <w:szCs w:val="28"/>
        </w:rPr>
        <w:t xml:space="preserve">администрации </w:t>
      </w:r>
      <w:r>
        <w:rPr>
          <w:rFonts w:eastAsia="Arial Unicode MS" w:cs="Arial Unicode MS"/>
          <w:sz w:val="28"/>
          <w:szCs w:val="28"/>
          <w:lang w:eastAsia="ru-RU" w:bidi="ru-RU"/>
        </w:rPr>
        <w:t>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</w:p>
    <w:p>
      <w:pPr>
        <w:sectPr>
          <w:headerReference w:type="default" r:id="rId6"/>
          <w:headerReference w:type="first" r:id="rId7"/>
          <w:footerReference w:type="default" r:id="rId8"/>
          <w:footerReference w:type="first" r:id="rId9"/>
          <w:type w:val="nextPage"/>
          <w:pgSz w:w="11906" w:h="16838"/>
          <w:pgMar w:left="1701" w:right="567" w:header="440" w:top="1134" w:footer="5" w:bottom="1134" w:gutter="0"/>
          <w:pgNumType w:start="1" w:fmt="decimal"/>
          <w:formProt w:val="false"/>
          <w:titlePg/>
          <w:textDirection w:val="lrTb"/>
          <w:docGrid w:type="default" w:linePitch="360" w:charSpace="0"/>
        </w:sectPr>
        <w:pStyle w:val="11"/>
        <w:ind w:firstLine="20"/>
        <w:jc w:val="both"/>
        <w:rPr/>
      </w:pP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                                                                М.А. Стамбольжи</w:t>
      </w:r>
    </w:p>
    <w:p>
      <w:pPr>
        <w:pStyle w:val="11"/>
        <w:widowControl w:val="false"/>
        <w:bidi w:val="0"/>
        <w:ind w:left="5613" w:right="0" w:hanging="0"/>
        <w:jc w:val="left"/>
        <w:rPr/>
      </w:pPr>
      <w:r>
        <w:rPr>
          <w:sz w:val="28"/>
          <w:szCs w:val="28"/>
        </w:rPr>
        <w:t xml:space="preserve">Приложение 2 </w:t>
      </w:r>
    </w:p>
    <w:p>
      <w:pPr>
        <w:pStyle w:val="11"/>
        <w:widowControl w:val="false"/>
        <w:bidi w:val="0"/>
        <w:ind w:left="5613" w:right="0" w:hanging="0"/>
        <w:jc w:val="left"/>
        <w:rPr/>
      </w:pPr>
      <w:r>
        <w:rPr>
          <w:sz w:val="28"/>
          <w:szCs w:val="28"/>
        </w:rPr>
        <w:t xml:space="preserve">к Методике оценки эффективности использования средств бюджета </w:t>
      </w:r>
      <w:r>
        <w:rPr>
          <w:rFonts w:eastAsia="Arial Unicode MS" w:cs="Arial Unicode MS"/>
          <w:sz w:val="28"/>
          <w:szCs w:val="28"/>
          <w:lang w:eastAsia="ru-RU" w:bidi="ru-RU"/>
        </w:rPr>
        <w:t>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rFonts w:eastAsia="Arial Unicode MS" w:cs="Arial Unicode MS"/>
          <w:sz w:val="28"/>
          <w:szCs w:val="28"/>
          <w:lang w:eastAsia="ru-RU" w:bidi="ru-RU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направляемых на капитальные вложения</w:t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spacing w:lineRule="auto" w:line="240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ЗНАЧЕНИЯ </w:t>
      </w:r>
    </w:p>
    <w:p>
      <w:pPr>
        <w:pStyle w:val="11"/>
        <w:spacing w:lineRule="auto" w:line="240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весовых коэффициентов </w:t>
      </w:r>
    </w:p>
    <w:p>
      <w:pPr>
        <w:pStyle w:val="11"/>
        <w:spacing w:lineRule="auto" w:line="240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количественных критериев</w:t>
      </w:r>
    </w:p>
    <w:p>
      <w:pPr>
        <w:pStyle w:val="11"/>
        <w:spacing w:before="0" w:after="220"/>
        <w:ind w:hanging="0"/>
        <w:jc w:val="right"/>
        <w:rPr>
          <w:sz w:val="28"/>
          <w:szCs w:val="28"/>
        </w:rPr>
      </w:pPr>
      <w:r>
        <w:rPr>
          <w:sz w:val="28"/>
          <w:szCs w:val="28"/>
        </w:rPr>
        <w:t>в процентах</w:t>
      </w:r>
    </w:p>
    <w:tbl>
      <w:tblPr>
        <w:tblStyle w:val="af0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81"/>
        <w:gridCol w:w="2631"/>
        <w:gridCol w:w="1700"/>
        <w:gridCol w:w="1700"/>
        <w:gridCol w:w="1"/>
        <w:gridCol w:w="1557"/>
        <w:gridCol w:w="1558"/>
      </w:tblGrid>
      <w:tr>
        <w:trPr>
          <w:trHeight w:val="70" w:hRule="atLeast"/>
        </w:trPr>
        <w:tc>
          <w:tcPr>
            <w:tcW w:w="481" w:type="dxa"/>
            <w:vMerge w:val="restart"/>
            <w:tcBorders>
              <w:bottom w:val="nil"/>
            </w:tcBorders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№</w:t>
            </w:r>
          </w:p>
        </w:tc>
        <w:tc>
          <w:tcPr>
            <w:tcW w:w="2631" w:type="dxa"/>
            <w:vMerge w:val="restart"/>
            <w:tcBorders>
              <w:bottom w:val="nil"/>
            </w:tcBorders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Критерий</w:t>
            </w:r>
          </w:p>
        </w:tc>
        <w:tc>
          <w:tcPr>
            <w:tcW w:w="3401" w:type="dxa"/>
            <w:gridSpan w:val="3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Строительство, реконструкция, в том числе с элементами реставрации, объекта капитального строительства или приобретение объекта недвижимого имущества</w:t>
            </w:r>
          </w:p>
        </w:tc>
        <w:tc>
          <w:tcPr>
            <w:tcW w:w="3115" w:type="dxa"/>
            <w:gridSpan w:val="2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Для строительства, реконструкции, в том числе с элементами реставрации, объекта капитального строительства в случае, установленном частью 2 статьи 8.3 Градостроительного кодекса Российской Федерации</w:t>
            </w:r>
          </w:p>
        </w:tc>
      </w:tr>
      <w:tr>
        <w:trPr>
          <w:trHeight w:val="70" w:hRule="atLeast"/>
        </w:trPr>
        <w:tc>
          <w:tcPr>
            <w:tcW w:w="481" w:type="dxa"/>
            <w:vMerge w:val="continue"/>
            <w:tcBorders>
              <w:bottom w:val="nil"/>
            </w:tcBorders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rFonts w:ascii="Arial Unicode MS" w:hAnsi="Arial Unicode MS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Arial Unicode MS" w:hAnsi="Arial Unicode MS"/>
                <w:sz w:val="26"/>
                <w:szCs w:val="26"/>
                <w:lang w:eastAsia="ru-RU" w:bidi="ru-RU"/>
              </w:rPr>
            </w:r>
          </w:p>
        </w:tc>
        <w:tc>
          <w:tcPr>
            <w:tcW w:w="2631" w:type="dxa"/>
            <w:vMerge w:val="continue"/>
            <w:tcBorders>
              <w:bottom w:val="nil"/>
            </w:tcBorders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rFonts w:ascii="Arial Unicode MS" w:hAnsi="Arial Unicode MS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Arial Unicode MS" w:hAnsi="Arial Unicode MS"/>
                <w:sz w:val="26"/>
                <w:szCs w:val="26"/>
                <w:lang w:eastAsia="ru-RU" w:bidi="ru-RU"/>
              </w:rPr>
            </w:r>
          </w:p>
        </w:tc>
        <w:tc>
          <w:tcPr>
            <w:tcW w:w="1700" w:type="dxa"/>
            <w:tcBorders>
              <w:bottom w:val="nil"/>
            </w:tcBorders>
            <w:shd w:fill="auto" w:val="clear"/>
          </w:tcPr>
          <w:p>
            <w:pPr>
              <w:pStyle w:val="Style30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образования, культуры и спорта, ком-мунальной инфраструк-туры, адми-нистратив-ных и иных зданий, охраны окружающей среды</w:t>
            </w:r>
          </w:p>
        </w:tc>
        <w:tc>
          <w:tcPr>
            <w:tcW w:w="1700" w:type="dxa"/>
            <w:tcBorders>
              <w:bottom w:val="nil"/>
            </w:tcBorders>
            <w:shd w:fill="auto" w:val="clear"/>
          </w:tcPr>
          <w:p>
            <w:pPr>
              <w:pStyle w:val="Style30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производст-венного наз-начения, транспорт-ной инфраст-руктуры, инфраструк-туры нацио-нальной инновацион-ной системы и других</w:t>
            </w:r>
          </w:p>
        </w:tc>
        <w:tc>
          <w:tcPr>
            <w:tcW w:w="1558" w:type="dxa"/>
            <w:gridSpan w:val="2"/>
            <w:tcBorders>
              <w:bottom w:val="nil"/>
            </w:tcBorders>
            <w:shd w:fill="auto" w:val="clear"/>
          </w:tcPr>
          <w:p>
            <w:pPr>
              <w:pStyle w:val="Style30"/>
              <w:widowControl w:val="false"/>
              <w:spacing w:lineRule="auto" w:line="240"/>
              <w:ind w:left="-108" w:right="-57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образования, культуры и спорта, ком-мунальной инфраструк-туры, адми-нистратив-ных и иных зданий, охраны окружаю-щей среды</w:t>
            </w:r>
          </w:p>
        </w:tc>
        <w:tc>
          <w:tcPr>
            <w:tcW w:w="1558" w:type="dxa"/>
            <w:tcBorders>
              <w:bottom w:val="nil"/>
            </w:tcBorders>
            <w:shd w:fill="auto" w:val="clear"/>
          </w:tcPr>
          <w:p>
            <w:pPr>
              <w:pStyle w:val="Style30"/>
              <w:widowControl w:val="false"/>
              <w:spacing w:lineRule="auto" w:line="240"/>
              <w:ind w:left="-109" w:right="28"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производст-венного наз-начения, транспорт-ной инф-раструк-туры, инф-раструктуры националь-ной инно-вационной системы и других</w:t>
            </w:r>
          </w:p>
        </w:tc>
      </w:tr>
    </w:tbl>
    <w:p>
      <w:pPr>
        <w:pStyle w:val="11"/>
        <w:ind w:hanging="0"/>
        <w:jc w:val="center"/>
        <w:rPr>
          <w:sz w:val="2"/>
          <w:szCs w:val="28"/>
        </w:rPr>
      </w:pPr>
      <w:r>
        <w:rPr>
          <w:sz w:val="2"/>
          <w:szCs w:val="28"/>
        </w:rPr>
      </w:r>
    </w:p>
    <w:tbl>
      <w:tblPr>
        <w:tblStyle w:val="af0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28"/>
        <w:gridCol w:w="2564"/>
        <w:gridCol w:w="1722"/>
        <w:gridCol w:w="1642"/>
        <w:gridCol w:w="1615"/>
        <w:gridCol w:w="1557"/>
      </w:tblGrid>
      <w:tr>
        <w:trPr>
          <w:tblHeader w:val="true"/>
          <w:trHeight w:val="296" w:hRule="atLeast"/>
        </w:trPr>
        <w:tc>
          <w:tcPr>
            <w:tcW w:w="528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2564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1722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3</w:t>
            </w:r>
          </w:p>
        </w:tc>
        <w:tc>
          <w:tcPr>
            <w:tcW w:w="1642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1615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5</w:t>
            </w:r>
          </w:p>
        </w:tc>
        <w:tc>
          <w:tcPr>
            <w:tcW w:w="1557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6</w:t>
            </w:r>
          </w:p>
        </w:tc>
      </w:tr>
      <w:tr>
        <w:trPr/>
        <w:tc>
          <w:tcPr>
            <w:tcW w:w="528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2564" w:type="dxa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Значения количественных показателей результатов реализации инвестиционного проекта</w:t>
            </w:r>
          </w:p>
        </w:tc>
        <w:tc>
          <w:tcPr>
            <w:tcW w:w="172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5</w:t>
            </w:r>
          </w:p>
        </w:tc>
        <w:tc>
          <w:tcPr>
            <w:tcW w:w="164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5</w:t>
            </w:r>
          </w:p>
        </w:tc>
        <w:tc>
          <w:tcPr>
            <w:tcW w:w="1615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5</w:t>
            </w:r>
          </w:p>
        </w:tc>
        <w:tc>
          <w:tcPr>
            <w:tcW w:w="155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5</w:t>
            </w:r>
          </w:p>
        </w:tc>
      </w:tr>
      <w:tr>
        <w:trPr/>
        <w:tc>
          <w:tcPr>
            <w:tcW w:w="528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2564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72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40</w:t>
            </w:r>
          </w:p>
        </w:tc>
        <w:tc>
          <w:tcPr>
            <w:tcW w:w="164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40</w:t>
            </w:r>
          </w:p>
        </w:tc>
        <w:tc>
          <w:tcPr>
            <w:tcW w:w="1615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-</w:t>
            </w:r>
          </w:p>
        </w:tc>
        <w:tc>
          <w:tcPr>
            <w:tcW w:w="1557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-</w:t>
            </w:r>
          </w:p>
        </w:tc>
      </w:tr>
      <w:tr>
        <w:trPr/>
        <w:tc>
          <w:tcPr>
            <w:tcW w:w="528" w:type="dxa"/>
            <w:tcBorders/>
            <w:shd w:fill="auto" w:val="clear"/>
          </w:tcPr>
          <w:p>
            <w:pPr>
              <w:pStyle w:val="11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3</w:t>
            </w:r>
          </w:p>
        </w:tc>
        <w:tc>
          <w:tcPr>
            <w:tcW w:w="2564" w:type="dxa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spacing w:lineRule="auto" w:line="240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Наличие потребителей услуг (продукции), создаваемых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(мощности приобретаемого объекта недвижимого имущества)</w:t>
            </w:r>
          </w:p>
        </w:tc>
        <w:tc>
          <w:tcPr>
            <w:tcW w:w="1722" w:type="dxa"/>
            <w:tcBorders/>
            <w:shd w:fill="auto" w:val="clear"/>
          </w:tcPr>
          <w:p>
            <w:pPr>
              <w:pStyle w:val="Style30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20</w:t>
            </w:r>
          </w:p>
        </w:tc>
        <w:tc>
          <w:tcPr>
            <w:tcW w:w="1642" w:type="dxa"/>
            <w:tcBorders/>
            <w:shd w:fill="auto" w:val="clear"/>
          </w:tcPr>
          <w:p>
            <w:pPr>
              <w:pStyle w:val="Style30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18</w:t>
            </w:r>
          </w:p>
        </w:tc>
        <w:tc>
          <w:tcPr>
            <w:tcW w:w="1615" w:type="dxa"/>
            <w:tcBorders/>
            <w:shd w:fill="auto" w:val="clear"/>
          </w:tcPr>
          <w:p>
            <w:pPr>
              <w:pStyle w:val="Style30"/>
              <w:widowControl w:val="false"/>
              <w:spacing w:lineRule="auto" w:line="240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20</w:t>
            </w:r>
          </w:p>
        </w:tc>
        <w:tc>
          <w:tcPr>
            <w:tcW w:w="1557" w:type="dxa"/>
            <w:tcBorders/>
            <w:shd w:fill="auto" w:val="clear"/>
          </w:tcPr>
          <w:p>
            <w:pPr>
              <w:pStyle w:val="Style30"/>
              <w:widowControl w:val="false"/>
              <w:spacing w:lineRule="auto" w:line="240"/>
              <w:ind w:firstLine="420"/>
              <w:jc w:val="both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18</w:t>
            </w:r>
          </w:p>
        </w:tc>
      </w:tr>
      <w:tr>
        <w:trPr>
          <w:cantSplit w:val="true"/>
        </w:trPr>
        <w:tc>
          <w:tcPr>
            <w:tcW w:w="528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</w:t>
            </w:r>
          </w:p>
        </w:tc>
        <w:tc>
          <w:tcPr>
            <w:tcW w:w="2564" w:type="dxa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обеспечения муниципальных нужд</w:t>
            </w:r>
          </w:p>
        </w:tc>
        <w:tc>
          <w:tcPr>
            <w:tcW w:w="172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15</w:t>
            </w:r>
          </w:p>
        </w:tc>
        <w:tc>
          <w:tcPr>
            <w:tcW w:w="164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19</w:t>
            </w:r>
          </w:p>
        </w:tc>
        <w:tc>
          <w:tcPr>
            <w:tcW w:w="1615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15</w:t>
            </w:r>
          </w:p>
        </w:tc>
        <w:tc>
          <w:tcPr>
            <w:tcW w:w="1557" w:type="dxa"/>
            <w:tcBorders/>
            <w:shd w:fill="auto" w:val="clear"/>
          </w:tcPr>
          <w:p>
            <w:pPr>
              <w:pStyle w:val="Style30"/>
              <w:widowControl w:val="false"/>
              <w:ind w:firstLine="42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19</w:t>
            </w:r>
          </w:p>
        </w:tc>
      </w:tr>
      <w:tr>
        <w:trPr/>
        <w:tc>
          <w:tcPr>
            <w:tcW w:w="528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5</w:t>
            </w:r>
          </w:p>
        </w:tc>
        <w:tc>
          <w:tcPr>
            <w:tcW w:w="2564" w:type="dxa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Возможность обеспечения планируемого объекта капитального строительства (объекта недвижимого имущества) инженерной и транспортной инфраструктурами в объемах, достаточных для реализации проекта</w:t>
            </w:r>
          </w:p>
        </w:tc>
        <w:tc>
          <w:tcPr>
            <w:tcW w:w="172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20</w:t>
            </w:r>
          </w:p>
        </w:tc>
        <w:tc>
          <w:tcPr>
            <w:tcW w:w="164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18</w:t>
            </w:r>
          </w:p>
        </w:tc>
        <w:tc>
          <w:tcPr>
            <w:tcW w:w="1615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20</w:t>
            </w:r>
          </w:p>
        </w:tc>
        <w:tc>
          <w:tcPr>
            <w:tcW w:w="1557" w:type="dxa"/>
            <w:tcBorders/>
            <w:shd w:fill="auto" w:val="clear"/>
          </w:tcPr>
          <w:p>
            <w:pPr>
              <w:pStyle w:val="Style30"/>
              <w:widowControl w:val="false"/>
              <w:ind w:firstLine="42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18</w:t>
            </w:r>
          </w:p>
        </w:tc>
      </w:tr>
      <w:tr>
        <w:trPr/>
        <w:tc>
          <w:tcPr>
            <w:tcW w:w="528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6</w:t>
            </w:r>
          </w:p>
        </w:tc>
        <w:tc>
          <w:tcPr>
            <w:tcW w:w="2564" w:type="dxa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Наличие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случаях.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установленных частью 2 статьи 8(3) Градостроительного кодекса Ро</w:t>
            </w:r>
            <w:bookmarkStart w:id="4" w:name="_GoBack"/>
            <w:bookmarkEnd w:id="4"/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ссийской Федерации</w:t>
            </w:r>
          </w:p>
        </w:tc>
        <w:tc>
          <w:tcPr>
            <w:tcW w:w="1722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  <w:t>-</w:t>
            </w:r>
          </w:p>
        </w:tc>
        <w:tc>
          <w:tcPr>
            <w:tcW w:w="1642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  <w:t>-</w:t>
            </w:r>
          </w:p>
        </w:tc>
        <w:tc>
          <w:tcPr>
            <w:tcW w:w="1615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40</w:t>
            </w:r>
          </w:p>
        </w:tc>
        <w:tc>
          <w:tcPr>
            <w:tcW w:w="1557" w:type="dxa"/>
            <w:tcBorders/>
            <w:shd w:fill="auto" w:val="clear"/>
          </w:tcPr>
          <w:p>
            <w:pPr>
              <w:pStyle w:val="Style30"/>
              <w:widowControl w:val="false"/>
              <w:ind w:firstLine="42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40</w:t>
            </w:r>
          </w:p>
        </w:tc>
      </w:tr>
      <w:tr>
        <w:trPr/>
        <w:tc>
          <w:tcPr>
            <w:tcW w:w="528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rFonts w:ascii="Times New Roman" w:hAnsi="Times New Roman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564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Итого</w:t>
            </w:r>
          </w:p>
        </w:tc>
        <w:tc>
          <w:tcPr>
            <w:tcW w:w="172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100</w:t>
            </w:r>
          </w:p>
        </w:tc>
        <w:tc>
          <w:tcPr>
            <w:tcW w:w="1642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100</w:t>
            </w:r>
          </w:p>
        </w:tc>
        <w:tc>
          <w:tcPr>
            <w:tcW w:w="1615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100</w:t>
            </w:r>
          </w:p>
        </w:tc>
        <w:tc>
          <w:tcPr>
            <w:tcW w:w="1557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6"/>
                <w:szCs w:val="26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100</w:t>
            </w:r>
          </w:p>
        </w:tc>
      </w:tr>
    </w:tbl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spacing w:lineRule="auto" w:line="240"/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>
      <w:pPr>
        <w:pStyle w:val="11"/>
        <w:spacing w:lineRule="auto" w:line="240"/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экономического развития </w:t>
      </w:r>
    </w:p>
    <w:p>
      <w:pPr>
        <w:pStyle w:val="11"/>
        <w:spacing w:lineRule="auto" w:line="240"/>
        <w:ind w:hanging="0"/>
        <w:rPr/>
      </w:pPr>
      <w:r>
        <w:rPr>
          <w:sz w:val="28"/>
          <w:szCs w:val="28"/>
        </w:rPr>
        <w:t xml:space="preserve">администрации </w:t>
      </w:r>
      <w:r>
        <w:rPr>
          <w:rFonts w:eastAsia="Arial Unicode MS" w:cs="Arial Unicode MS"/>
          <w:sz w:val="28"/>
          <w:szCs w:val="28"/>
          <w:lang w:eastAsia="ru-RU" w:bidi="ru-RU"/>
        </w:rPr>
        <w:t>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</w:p>
    <w:p>
      <w:pPr>
        <w:pStyle w:val="11"/>
        <w:spacing w:lineRule="auto" w:line="240"/>
        <w:ind w:hanging="0"/>
        <w:rPr/>
      </w:pP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 xml:space="preserve">                                                                 М.А. Стамбольжи</w:t>
      </w:r>
    </w:p>
    <w:p>
      <w:pPr>
        <w:sectPr>
          <w:headerReference w:type="default" r:id="rId10"/>
          <w:headerReference w:type="first" r:id="rId11"/>
          <w:footerReference w:type="default" r:id="rId12"/>
          <w:footerReference w:type="first" r:id="rId13"/>
          <w:type w:val="nextPage"/>
          <w:pgSz w:w="11906" w:h="16838"/>
          <w:pgMar w:left="1701" w:right="567" w:header="440" w:top="1134" w:footer="5" w:bottom="1134" w:gutter="0"/>
          <w:pgNumType w:start="1" w:fmt="decimal"/>
          <w:formProt w:val="false"/>
          <w:titlePg/>
          <w:textDirection w:val="lrTb"/>
          <w:docGrid w:type="default" w:linePitch="360" w:charSpace="0"/>
        </w:sectPr>
        <w:pStyle w:val="11"/>
        <w:ind w:left="38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widowControl w:val="false"/>
        <w:bidi w:val="0"/>
        <w:ind w:left="5669"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>
      <w:pPr>
        <w:pStyle w:val="11"/>
        <w:widowControl w:val="false"/>
        <w:bidi w:val="0"/>
        <w:ind w:left="5669"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>к Методике оценки</w:t>
      </w:r>
    </w:p>
    <w:p>
      <w:pPr>
        <w:pStyle w:val="11"/>
        <w:widowControl w:val="false"/>
        <w:bidi w:val="0"/>
        <w:ind w:left="5669"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эффективности использования средств бюджета </w:t>
      </w:r>
      <w:r>
        <w:rPr>
          <w:rFonts w:eastAsia="Arial Unicode MS" w:cs="Arial Unicode MS"/>
          <w:sz w:val="28"/>
          <w:szCs w:val="28"/>
          <w:lang w:eastAsia="ru-RU" w:bidi="ru-RU"/>
        </w:rPr>
        <w:t>Туапсинск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ого</w:t>
      </w:r>
      <w:r>
        <w:rPr>
          <w:rFonts w:eastAsia="Arial Unicode MS" w:cs="Arial Unicode MS"/>
          <w:sz w:val="28"/>
          <w:szCs w:val="28"/>
          <w:lang w:eastAsia="ru-RU" w:bidi="ru-RU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eastAsia="en-US" w:bidi="ar-SA"/>
        </w:rPr>
        <w:t>муниципального округа</w:t>
      </w:r>
      <w:r>
        <w:rPr>
          <w:sz w:val="28"/>
          <w:szCs w:val="28"/>
        </w:rPr>
        <w:t>, направляемых на капитальные вложения</w:t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РЕКОМЕНДУЕМЫЕ КОЛИЧЕСТВЕННЫЕ</w:t>
      </w:r>
    </w:p>
    <w:p>
      <w:pPr>
        <w:pStyle w:val="11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показатели, характеризующие цель </w:t>
      </w:r>
    </w:p>
    <w:p>
      <w:pPr>
        <w:pStyle w:val="11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 результаты реализации</w:t>
        <w:br/>
        <w:t>инвестиционного проекта</w:t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f0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970"/>
        <w:gridCol w:w="3119"/>
        <w:gridCol w:w="3540"/>
      </w:tblGrid>
      <w:tr>
        <w:trPr/>
        <w:tc>
          <w:tcPr>
            <w:tcW w:w="2970" w:type="dxa"/>
            <w:vMerge w:val="restart"/>
            <w:tcBorders>
              <w:bottom w:val="nil"/>
            </w:tcBorders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rFonts w:ascii="Times New Roman" w:hAnsi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Объект капитального строительства</w:t>
            </w:r>
          </w:p>
        </w:tc>
        <w:tc>
          <w:tcPr>
            <w:tcW w:w="6659" w:type="dxa"/>
            <w:gridSpan w:val="2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Количественный показатель</w:t>
            </w:r>
          </w:p>
        </w:tc>
      </w:tr>
      <w:tr>
        <w:trPr/>
        <w:tc>
          <w:tcPr>
            <w:tcW w:w="2970" w:type="dxa"/>
            <w:vMerge w:val="continue"/>
            <w:tcBorders>
              <w:bottom w:val="nil"/>
            </w:tcBorders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rFonts w:ascii="Times New Roman" w:hAnsi="Times New Roman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3119" w:type="dxa"/>
            <w:tcBorders>
              <w:bottom w:val="nil"/>
            </w:tcBorders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характеризующий прямые (непосредственные) результаты проекта</w:t>
            </w:r>
          </w:p>
        </w:tc>
        <w:tc>
          <w:tcPr>
            <w:tcW w:w="3540" w:type="dxa"/>
            <w:tcBorders>
              <w:bottom w:val="nil"/>
            </w:tcBorders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характеризующий конечные результаты проекта</w:t>
            </w:r>
          </w:p>
        </w:tc>
      </w:tr>
    </w:tbl>
    <w:p>
      <w:pPr>
        <w:pStyle w:val="11"/>
        <w:ind w:hanging="0"/>
        <w:jc w:val="center"/>
        <w:rPr>
          <w:sz w:val="2"/>
          <w:szCs w:val="28"/>
        </w:rPr>
      </w:pPr>
      <w:r>
        <w:rPr>
          <w:sz w:val="2"/>
          <w:szCs w:val="28"/>
        </w:rPr>
      </w:r>
    </w:p>
    <w:tbl>
      <w:tblPr>
        <w:tblStyle w:val="af0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970"/>
        <w:gridCol w:w="3119"/>
        <w:gridCol w:w="3540"/>
      </w:tblGrid>
      <w:tr>
        <w:trPr>
          <w:tblHeader w:val="true"/>
        </w:trPr>
        <w:tc>
          <w:tcPr>
            <w:tcW w:w="2970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3540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3</w:t>
            </w:r>
          </w:p>
        </w:tc>
      </w:tr>
      <w:tr>
        <w:trPr/>
        <w:tc>
          <w:tcPr>
            <w:tcW w:w="9629" w:type="dxa"/>
            <w:gridSpan w:val="3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1. Строительство (реконструкция) объектов образования, культуры и спорта</w:t>
            </w:r>
          </w:p>
        </w:tc>
      </w:tr>
      <w:tr>
        <w:trPr/>
        <w:tc>
          <w:tcPr>
            <w:tcW w:w="297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Дошкольные и общеобразовательные учреждения, центры детского творчества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мощность объекта: количество мест;</w:t>
            </w:r>
          </w:p>
          <w:p>
            <w:pPr>
              <w:pStyle w:val="Style30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общая площадь здания, кв. метров;</w:t>
            </w:r>
          </w:p>
          <w:p>
            <w:pPr>
              <w:pStyle w:val="Style30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строительный объем, куб. метров</w:t>
            </w:r>
          </w:p>
        </w:tc>
        <w:tc>
          <w:tcPr>
            <w:tcW w:w="3540" w:type="dxa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1) количество создаваемых (сохраняемых) рабочих мест, единицы;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2) рост обеспеченности региона, муниципального образования или входящих в него поселений (в расчете на 100 детей) местами в дошкольных образователь-ных, общеобразовательных учебных учреждениях, центрах детского творчест-ва, в процентах к уровню обеспеченности до реали-зации проекта</w:t>
            </w:r>
          </w:p>
        </w:tc>
      </w:tr>
      <w:tr>
        <w:trPr/>
        <w:tc>
          <w:tcPr>
            <w:tcW w:w="297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Учреждения культуры (театры, музеи, библиотеки и другое)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мощность объекта, количество мест, количество посетителей в день; для библиотек - количество единиц библиотечного фонда;</w:t>
            </w:r>
          </w:p>
          <w:p>
            <w:pPr>
              <w:pStyle w:val="Style30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общая площадь здания, кв. метров;</w:t>
            </w:r>
          </w:p>
          <w:p>
            <w:pPr>
              <w:pStyle w:val="Style30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строительный объем, куб. метров</w:t>
            </w:r>
          </w:p>
        </w:tc>
        <w:tc>
          <w:tcPr>
            <w:tcW w:w="354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1) количество создаваемых (сохраняемых) рабочих мест, единицы;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2) рост обеспеченности региона, муниципального образования или входящих в него поселений (в расчете на 1 000 жителей) местами в учреждениях культуры, в процентах к уровню обес-печенности до реализации проекта</w:t>
            </w:r>
          </w:p>
        </w:tc>
      </w:tr>
      <w:tr>
        <w:trPr/>
        <w:tc>
          <w:tcPr>
            <w:tcW w:w="297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Объекты физической культуры и спорта (стадионы, спортивные центры, ледовые арены, плавательные бассейны и другие спортивные сооружения)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мощность объекта: пропускная способность спортивных сооружений, количество мест, тыс. человек;</w:t>
            </w:r>
          </w:p>
          <w:p>
            <w:pPr>
              <w:pStyle w:val="Style30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общая площадь здания, кв. метров;</w:t>
            </w:r>
          </w:p>
          <w:p>
            <w:pPr>
              <w:pStyle w:val="Style30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строительный объем, куб. метров</w:t>
            </w:r>
          </w:p>
        </w:tc>
        <w:tc>
          <w:tcPr>
            <w:tcW w:w="354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1) количество создаваемых (сохраняемых) рабочих мест, единицы;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2) рост обеспеченности региона, муниципального образования или входящих в него поселений объектами физической культуры и спорта, рост количества мест в процентах к уровню обеспеченности до реализации проекта</w:t>
            </w:r>
          </w:p>
        </w:tc>
      </w:tr>
      <w:tr>
        <w:trPr/>
        <w:tc>
          <w:tcPr>
            <w:tcW w:w="9629" w:type="dxa"/>
            <w:gridSpan w:val="3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2. Строительство (реконструкция) общественных зданий и жилых помещений</w:t>
            </w:r>
          </w:p>
        </w:tc>
      </w:tr>
      <w:tr>
        <w:trPr/>
        <w:tc>
          <w:tcPr>
            <w:tcW w:w="297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Жилые дома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общая площадь объекта, кв. метров;</w:t>
            </w:r>
          </w:p>
          <w:p>
            <w:pPr>
              <w:pStyle w:val="Style30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178" w:leader="none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полезная жилая площадь объекта, кв. метров;</w:t>
            </w:r>
          </w:p>
          <w:p>
            <w:pPr>
              <w:pStyle w:val="Style30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178" w:leader="none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количество квартир</w:t>
            </w:r>
          </w:p>
        </w:tc>
        <w:tc>
          <w:tcPr>
            <w:tcW w:w="354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сокращение количества очередников на улучшение жилищных условий в регионе, муниципальном образовании или входящих в него поселениях, в процентах к количеству очередников до реализации проекта</w:t>
            </w:r>
          </w:p>
        </w:tc>
      </w:tr>
      <w:tr>
        <w:trPr/>
        <w:tc>
          <w:tcPr>
            <w:tcW w:w="297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Административные здания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0" w:leader="none"/>
                <w:tab w:val="left" w:pos="286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общая площадь объекта, кв. метров;</w:t>
            </w:r>
          </w:p>
          <w:p>
            <w:pPr>
              <w:pStyle w:val="Style30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8" w:leader="none"/>
                <w:tab w:val="left" w:pos="286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полезная и служебная площадь объекта, кв. метров;</w:t>
            </w:r>
          </w:p>
          <w:p>
            <w:pPr>
              <w:pStyle w:val="Style30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178" w:leader="none"/>
                <w:tab w:val="left" w:pos="286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строительный объем куб. метров</w:t>
            </w:r>
          </w:p>
        </w:tc>
        <w:tc>
          <w:tcPr>
            <w:tcW w:w="354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обеспечение комфортных условий труда работников, кв. метров общей (полезной, служебной) площади здания на одного работника</w:t>
            </w:r>
          </w:p>
        </w:tc>
      </w:tr>
      <w:tr>
        <w:trPr>
          <w:trHeight w:val="2045" w:hRule="atLeast"/>
        </w:trPr>
        <w:tc>
          <w:tcPr>
            <w:tcW w:w="297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Общежития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количество мест;</w:t>
            </w:r>
          </w:p>
          <w:p>
            <w:pPr>
              <w:pStyle w:val="Style30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общая площадь объекта, кв. метров;</w:t>
            </w:r>
          </w:p>
          <w:p>
            <w:pPr>
              <w:pStyle w:val="Style30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7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строительный объем, куб. метров</w:t>
            </w:r>
          </w:p>
        </w:tc>
        <w:tc>
          <w:tcPr>
            <w:tcW w:w="3540" w:type="dxa"/>
            <w:tcBorders/>
            <w:shd w:fill="auto" w:val="clear"/>
          </w:tcPr>
          <w:p>
            <w:pPr>
              <w:pStyle w:val="Style30"/>
              <w:widowControl w:val="false"/>
              <w:tabs>
                <w:tab w:val="clear" w:pos="708"/>
                <w:tab w:val="left" w:pos="1272" w:leader="none"/>
                <w:tab w:val="left" w:pos="2534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 xml:space="preserve">обеспечение комфортных условий проживания, </w:t>
            </w:r>
          </w:p>
          <w:p>
            <w:pPr>
              <w:pStyle w:val="Style30"/>
              <w:widowControl w:val="false"/>
              <w:tabs>
                <w:tab w:val="clear" w:pos="708"/>
                <w:tab w:val="left" w:pos="1272" w:leader="none"/>
                <w:tab w:val="left" w:pos="2534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кв. метров общей площади объекта на одного проживающего</w:t>
            </w:r>
          </w:p>
        </w:tc>
      </w:tr>
      <w:tr>
        <w:trPr>
          <w:cantSplit w:val="true"/>
        </w:trPr>
        <w:tc>
          <w:tcPr>
            <w:tcW w:w="9629" w:type="dxa"/>
            <w:gridSpan w:val="3"/>
            <w:tcBorders/>
            <w:shd w:fill="auto" w:val="clear"/>
            <w:vAlign w:val="bottom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3. Строительство (реконструкция) объектов коммунальной инфраструктуры и охраны окружающей среды</w:t>
            </w:r>
          </w:p>
        </w:tc>
      </w:tr>
      <w:tr>
        <w:trPr/>
        <w:tc>
          <w:tcPr>
            <w:tcW w:w="297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Очистные сооружения (для защиты водных ресурсов и воздушного бассейна от бытовых техногенных загрязнений)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мощность объекта: объем переработки очищаемого ресурса, куб. метров (тонн), в сутки (год)</w:t>
            </w:r>
          </w:p>
        </w:tc>
        <w:tc>
          <w:tcPr>
            <w:tcW w:w="3540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количество создаваемых (сохраняемых) рабочих мест, единицы;</w:t>
            </w:r>
          </w:p>
          <w:p>
            <w:pPr>
              <w:pStyle w:val="Style30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сокращение концентрации вредных веществ в сбросах (выбросах), в процентах к их концентрации до реализации проекта;</w:t>
            </w:r>
          </w:p>
          <w:p>
            <w:pPr>
              <w:pStyle w:val="Style30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31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соответствие концентрации вредных веществ предельно допустимой концентрации</w:t>
            </w:r>
          </w:p>
        </w:tc>
      </w:tr>
      <w:tr>
        <w:trPr/>
        <w:tc>
          <w:tcPr>
            <w:tcW w:w="297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Объекты коммунальной инфраструктуры (объекты водоснабжения, водоотведения, тепло-, газо- и электроснабжения)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1) мощность объекта в соответствующих натуральных единицах измерения;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2) размерные и иные характеристики объекта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(газопровода-отвода - км, давление; электрических сетей - км. напряжение и другое)</w:t>
            </w:r>
          </w:p>
        </w:tc>
        <w:tc>
          <w:tcPr>
            <w:tcW w:w="3540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31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количество создаваемых (сохраняемых) рабочих мест;</w:t>
            </w:r>
          </w:p>
          <w:p>
            <w:pPr>
              <w:pStyle w:val="Style30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31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увеличение количества населенных пунктов, имеющих водопровод и канализацию, единицы;</w:t>
            </w:r>
          </w:p>
          <w:p>
            <w:pPr>
              <w:pStyle w:val="Style30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31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увеличение уровня газификации муниципального образования или входящих в него поселений, в процентах к уровню газификации до начала реализации проекта</w:t>
            </w:r>
          </w:p>
        </w:tc>
      </w:tr>
      <w:tr>
        <w:trPr/>
        <w:tc>
          <w:tcPr>
            <w:tcW w:w="9629" w:type="dxa"/>
            <w:gridSpan w:val="3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4. Строительство (реконструкция) объектов транспортной инфраструктуры</w:t>
            </w:r>
          </w:p>
        </w:tc>
      </w:tr>
      <w:tr>
        <w:trPr/>
        <w:tc>
          <w:tcPr>
            <w:tcW w:w="297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Пути сообщения общего пользования (автомобильные дороги с твердым покрытием; магистральные трубопроводы)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1) эксплуатационная длина путей сообщения общего пользования, км;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2) иные размерные характеристики объекта в соответствующих единицах измерения</w:t>
            </w:r>
          </w:p>
        </w:tc>
        <w:tc>
          <w:tcPr>
            <w:tcW w:w="354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1) количество создаваемых (сохраняемых) рабочих мест, единицы;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2) объем (увеличение объема): грузооборота транспорта общего пользования, тонно-км в год; пассажирооборота автобусного и другого транспорта, пассажиро-км в год; пребывания грузов, пассажиров в пути, процентов;</w:t>
            </w:r>
          </w:p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4) увеличение доли населенных пунктов, связанных дорогами с твердым покрытием с сетью путей сообщения общего пользования</w:t>
            </w:r>
          </w:p>
        </w:tc>
      </w:tr>
      <w:tr>
        <w:trPr/>
        <w:tc>
          <w:tcPr>
            <w:tcW w:w="2970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Мосты, тоннели</w:t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313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общая площадь объекта, кв. метров;</w:t>
            </w:r>
          </w:p>
          <w:p>
            <w:pPr>
              <w:pStyle w:val="Style30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313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эксплуатационная длина объекта, км;</w:t>
            </w:r>
          </w:p>
          <w:p>
            <w:pPr>
              <w:pStyle w:val="Style30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313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иные размерные характеристики объекта в соответствующих единицах измерения</w:t>
            </w:r>
          </w:p>
        </w:tc>
        <w:tc>
          <w:tcPr>
            <w:tcW w:w="3540" w:type="dxa"/>
            <w:tcBorders/>
            <w:shd w:fill="auto" w:val="clear"/>
          </w:tcPr>
          <w:p>
            <w:pPr>
              <w:pStyle w:val="Style30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31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объем (увеличение объема) грузооборота транспорта общего пользования, тонно-км в год;</w:t>
            </w:r>
          </w:p>
          <w:p>
            <w:pPr>
              <w:pStyle w:val="Style30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31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объем (увеличение объема) пассажирооборота автобусного и другого транспорта, пассажиро-км в год;</w:t>
            </w:r>
          </w:p>
          <w:p>
            <w:pPr>
              <w:pStyle w:val="Style30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312" w:leader="none"/>
              </w:tabs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сокращение времени пребывания грузов пассажиров в пути, процентов</w:t>
            </w:r>
          </w:p>
        </w:tc>
      </w:tr>
    </w:tbl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tabs>
          <w:tab w:val="clear" w:pos="708"/>
          <w:tab w:val="left" w:pos="195" w:leader="none"/>
          <w:tab w:val="center" w:pos="4819" w:leader="none"/>
        </w:tabs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>
      <w:pPr>
        <w:pStyle w:val="11"/>
        <w:tabs>
          <w:tab w:val="clear" w:pos="708"/>
          <w:tab w:val="left" w:pos="195" w:leader="none"/>
          <w:tab w:val="center" w:pos="4819" w:leader="none"/>
        </w:tabs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экономического развития </w:t>
      </w:r>
    </w:p>
    <w:p>
      <w:pPr>
        <w:pStyle w:val="11"/>
        <w:tabs>
          <w:tab w:val="clear" w:pos="708"/>
          <w:tab w:val="left" w:pos="195" w:leader="none"/>
          <w:tab w:val="center" w:pos="4819" w:leader="none"/>
        </w:tabs>
        <w:ind w:hanging="0"/>
        <w:rPr/>
      </w:pPr>
      <w:r>
        <w:rPr>
          <w:sz w:val="28"/>
          <w:szCs w:val="28"/>
        </w:rPr>
        <w:t>администрации Туапсинск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ого</w:t>
      </w:r>
    </w:p>
    <w:p>
      <w:pPr>
        <w:sectPr>
          <w:headerReference w:type="default" r:id="rId14"/>
          <w:headerReference w:type="first" r:id="rId15"/>
          <w:footerReference w:type="default" r:id="rId16"/>
          <w:footerReference w:type="first" r:id="rId17"/>
          <w:type w:val="nextPage"/>
          <w:pgSz w:w="11906" w:h="16838"/>
          <w:pgMar w:left="1701" w:right="567" w:header="426" w:top="1134" w:footer="5" w:bottom="1134" w:gutter="0"/>
          <w:pgNumType w:start="1" w:fmt="decimal"/>
          <w:formProt w:val="false"/>
          <w:titlePg/>
          <w:textDirection w:val="lrTb"/>
          <w:docGrid w:type="default" w:linePitch="360" w:charSpace="0"/>
        </w:sectPr>
        <w:pStyle w:val="11"/>
        <w:tabs>
          <w:tab w:val="clear" w:pos="708"/>
          <w:tab w:val="left" w:pos="195" w:leader="none"/>
          <w:tab w:val="center" w:pos="4819" w:leader="none"/>
        </w:tabs>
        <w:ind w:hanging="0"/>
        <w:rPr/>
      </w:pP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             </w:t>
      </w:r>
      <w:r>
        <w:rPr>
          <w:sz w:val="28"/>
          <w:szCs w:val="28"/>
        </w:rPr>
        <w:t xml:space="preserve">                                                   М.А. Стамбольжи</w:t>
        <w:tab/>
      </w:r>
    </w:p>
    <w:p>
      <w:pPr>
        <w:pStyle w:val="11"/>
        <w:widowControl w:val="false"/>
        <w:bidi w:val="0"/>
        <w:ind w:left="5783"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>
      <w:pPr>
        <w:pStyle w:val="11"/>
        <w:widowControl w:val="false"/>
        <w:bidi w:val="0"/>
        <w:ind w:left="5783"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>к Методике оценки эффективности использования средств бюджета Туапсинск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ого</w:t>
      </w:r>
    </w:p>
    <w:p>
      <w:pPr>
        <w:pStyle w:val="11"/>
        <w:widowControl w:val="false"/>
        <w:bidi w:val="0"/>
        <w:ind w:left="5783" w:right="0" w:hanging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>
        <w:rPr>
          <w:sz w:val="28"/>
          <w:szCs w:val="28"/>
        </w:rPr>
        <w:t>, направляемых на капитальные вложения</w:t>
      </w:r>
    </w:p>
    <w:p>
      <w:pPr>
        <w:pStyle w:val="11"/>
        <w:ind w:left="386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left="386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>
      <w:pPr>
        <w:pStyle w:val="11"/>
        <w:ind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 количественные показатели результатов</w:t>
        <w:br/>
        <w:t>реализации инвестиционного проекта-аналога</w:t>
      </w:r>
    </w:p>
    <w:p>
      <w:pPr>
        <w:pStyle w:val="11"/>
        <w:spacing w:before="0" w:after="220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1"/>
        <w:spacing w:before="0" w:after="220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инвестиционного проекта ________________________________</w:t>
      </w:r>
    </w:p>
    <w:p>
      <w:pPr>
        <w:pStyle w:val="11"/>
        <w:tabs>
          <w:tab w:val="clear" w:pos="708"/>
          <w:tab w:val="left" w:pos="6696" w:leader="underscore"/>
        </w:tabs>
        <w:spacing w:before="0" w:after="220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реализации_____________________________________________________</w:t>
      </w:r>
    </w:p>
    <w:p>
      <w:pPr>
        <w:pStyle w:val="11"/>
        <w:tabs>
          <w:tab w:val="clear" w:pos="708"/>
          <w:tab w:val="left" w:pos="6696" w:leader="underscore"/>
        </w:tabs>
        <w:spacing w:before="0" w:after="220"/>
        <w:ind w:hanging="0"/>
        <w:rPr>
          <w:sz w:val="28"/>
          <w:szCs w:val="28"/>
        </w:rPr>
      </w:pPr>
      <w:r>
        <w:rPr>
          <w:sz w:val="28"/>
          <w:szCs w:val="28"/>
        </w:rPr>
        <w:t>Месторасположение объекта___________________________________________</w:t>
      </w:r>
    </w:p>
    <w:p>
      <w:pPr>
        <w:pStyle w:val="11"/>
        <w:tabs>
          <w:tab w:val="clear" w:pos="708"/>
          <w:tab w:val="left" w:pos="6696" w:leader="underscore"/>
        </w:tabs>
        <w:spacing w:before="0" w:after="440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>Форма реализации инвестиционного проекта (строительство, реконструкция, в том числе с элементами реставрации, объекта капитального строительства, приобретение объекта недвижимого имущества, иные инвестиции в основной капитал)</w:t>
        <w:tab/>
        <w:t>_____________________</w:t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  <w:t>Сметная стоимость и количественные показатели</w:t>
        <w:br/>
        <w:t>результатов реализации инвестиционного проекта</w:t>
      </w:r>
    </w:p>
    <w:p>
      <w:pPr>
        <w:pStyle w:val="11"/>
        <w:ind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f0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86"/>
        <w:gridCol w:w="4537"/>
        <w:gridCol w:w="1699"/>
        <w:gridCol w:w="2406"/>
      </w:tblGrid>
      <w:tr>
        <w:trPr/>
        <w:tc>
          <w:tcPr>
            <w:tcW w:w="986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№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Наименование показателя</w:t>
            </w:r>
          </w:p>
        </w:tc>
        <w:tc>
          <w:tcPr>
            <w:tcW w:w="1699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Единица измерения</w:t>
            </w:r>
          </w:p>
        </w:tc>
        <w:tc>
          <w:tcPr>
            <w:tcW w:w="240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Значение показателя по инвестиционному проекту</w:t>
            </w:r>
          </w:p>
        </w:tc>
      </w:tr>
    </w:tbl>
    <w:p>
      <w:pPr>
        <w:pStyle w:val="11"/>
        <w:ind w:hanging="0"/>
        <w:jc w:val="center"/>
        <w:rPr>
          <w:sz w:val="2"/>
          <w:szCs w:val="28"/>
        </w:rPr>
      </w:pPr>
      <w:r>
        <w:rPr>
          <w:sz w:val="2"/>
          <w:szCs w:val="28"/>
        </w:rPr>
      </w:r>
    </w:p>
    <w:tbl>
      <w:tblPr>
        <w:tblStyle w:val="af0"/>
        <w:tblW w:w="96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86"/>
        <w:gridCol w:w="4537"/>
        <w:gridCol w:w="1716"/>
        <w:gridCol w:w="2389"/>
      </w:tblGrid>
      <w:tr>
        <w:trPr>
          <w:tblHeader w:val="true"/>
        </w:trPr>
        <w:tc>
          <w:tcPr>
            <w:tcW w:w="986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3</w:t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4</w:t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Сметная стоимость объекта-аналога по заключению государственной экспертизы (с указанием года ее получения) в ценах года расчета сметной стоимости планируемого объекта капитального строительства (стоимости приобретения объекта недвижимого имущества), реализуемого в рамках инвестиционного проекта, представляемого для проведения оценки эффективности (с указанием года ее определения)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млн. рублей</w:t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в том числе: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firstLine="20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1.1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строительно-монтажные работы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млн.рублей</w:t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firstLine="14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1.1.1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из них дорогостоящие работы и материалы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млн. рублей</w:t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firstLine="20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1.2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приобретение машин и оборудования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млн.рублей</w:t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firstLine="14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1.2.1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из них дорогостоящие машины и оборудование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млн. рублей</w:t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firstLine="20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1.3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приобретение объекта недвижимого имущества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млн.рублей</w:t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1.4.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прочие затраты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млн.рублей</w:t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2.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Показатели, характеризующие прямые результаты реализации проекта-аналога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rFonts w:ascii="Times New Roman" w:hAnsi="Times New Roman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rFonts w:ascii="Times New Roman" w:hAnsi="Times New Roman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2.1.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  <w:t>…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3.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left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Показатели, характеризующие конечные результаты реализации проекта-аналога</w:t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rFonts w:ascii="Times New Roman" w:hAnsi="Times New Roman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11"/>
              <w:widowControl w:val="false"/>
              <w:ind w:hanging="0"/>
              <w:jc w:val="center"/>
              <w:rPr>
                <w:rFonts w:ascii="Times New Roman" w:hAnsi="Times New Roman" w:eastAsia="Arial Unicode MS" w:cs="Arial Unicode MS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Style30"/>
              <w:widowControl w:val="false"/>
              <w:ind w:hanging="0"/>
              <w:jc w:val="center"/>
              <w:rPr>
                <w:sz w:val="28"/>
                <w:szCs w:val="28"/>
              </w:rPr>
            </w:pPr>
            <w:r>
              <w:rPr>
                <w:rFonts w:eastAsia="Arial Unicode MS" w:cs="Arial Unicode MS" w:ascii="Times New Roman" w:hAnsi="Times New Roman"/>
                <w:sz w:val="26"/>
                <w:szCs w:val="26"/>
                <w:lang w:eastAsia="ru-RU" w:bidi="ru-RU"/>
              </w:rPr>
              <w:t>3.1.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  <w:tr>
        <w:trPr/>
        <w:tc>
          <w:tcPr>
            <w:tcW w:w="986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  <w:t>…</w:t>
            </w:r>
          </w:p>
        </w:tc>
        <w:tc>
          <w:tcPr>
            <w:tcW w:w="4537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1716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  <w:tc>
          <w:tcPr>
            <w:tcW w:w="2389" w:type="dxa"/>
            <w:tcBorders/>
            <w:shd w:fill="auto" w:val="clear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 w:eastAsia="Arial Unicode MS" w:cs="Times New Roman"/>
                <w:sz w:val="26"/>
                <w:szCs w:val="26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sz w:val="26"/>
                <w:szCs w:val="26"/>
                <w:lang w:eastAsia="ru-RU" w:bidi="ru-RU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1"/>
        <w:spacing w:lineRule="auto" w:line="240"/>
        <w:ind w:hanging="0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>
      <w:pPr>
        <w:pStyle w:val="11"/>
        <w:spacing w:lineRule="auto" w:line="240"/>
        <w:ind w:hanging="0"/>
        <w:rPr>
          <w:sz w:val="28"/>
          <w:szCs w:val="28"/>
        </w:rPr>
      </w:pPr>
      <w:r>
        <w:rPr>
          <w:sz w:val="28"/>
          <w:szCs w:val="28"/>
        </w:rPr>
        <w:t>экономического развития</w:t>
      </w:r>
    </w:p>
    <w:p>
      <w:pPr>
        <w:pStyle w:val="11"/>
        <w:spacing w:lineRule="auto" w:line="240"/>
        <w:ind w:hanging="0"/>
        <w:rPr/>
      </w:pPr>
      <w:r>
        <w:rPr>
          <w:sz w:val="28"/>
          <w:szCs w:val="28"/>
        </w:rPr>
        <w:t xml:space="preserve">администрации </w:t>
      </w:r>
      <w:bookmarkStart w:id="5" w:name="__DdeLink__16221_2633043961"/>
      <w:r>
        <w:rPr>
          <w:sz w:val="28"/>
          <w:szCs w:val="28"/>
        </w:rPr>
        <w:t>Туапсинск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en-US" w:bidi="ar-SA"/>
        </w:rPr>
        <w:t>ого</w:t>
      </w:r>
    </w:p>
    <w:p>
      <w:pPr>
        <w:pStyle w:val="11"/>
        <w:spacing w:lineRule="auto" w:line="240"/>
        <w:ind w:hanging="0"/>
        <w:rPr/>
      </w:pP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bookmarkEnd w:id="5"/>
      <w:r>
        <w:rPr>
          <w:sz w:val="28"/>
          <w:szCs w:val="28"/>
        </w:rPr>
        <w:t xml:space="preserve">                                                                 М.А. Стамбольжи</w:t>
      </w:r>
    </w:p>
    <w:sectPr>
      <w:headerReference w:type="default" r:id="rId18"/>
      <w:headerReference w:type="first" r:id="rId19"/>
      <w:footerReference w:type="default" r:id="rId20"/>
      <w:footerReference w:type="first" r:id="rId21"/>
      <w:type w:val="nextPage"/>
      <w:pgSz w:w="11906" w:h="16838"/>
      <w:pgMar w:left="1701" w:right="567" w:header="426" w:top="1134" w:footer="3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 Unicode MS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1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jc w:val="center"/>
      <w:rPr/>
    </w:pPr>
    <w:r>
      <w:rPr>
        <w:rFonts w:cs="Times New Roman" w:ascii="Times New Roman" w:hAnsi="Times New Roman"/>
      </w:rPr>
      <w:fldChar w:fldCharType="begin"/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column">
                <wp:posOffset>2738755</wp:posOffset>
              </wp:positionH>
              <wp:positionV relativeFrom="paragraph">
                <wp:posOffset>635</wp:posOffset>
              </wp:positionV>
              <wp:extent cx="83185" cy="177165"/>
              <wp:effectExtent l="0" t="0" r="0" b="0"/>
              <wp:wrapNone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440" cy="17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sdt>
                          <w:sdtPr>
                            <w:docPartObj>
                              <w:docPartGallery w:val="Page Numbers (Top of Page)"/>
                              <w:docPartUnique w:val="true"/>
                            </w:docPartObj>
                            <w:id w:val="1783644465"/>
                          </w:sdtPr>
                          <w:sdtContent>
                            <w:p>
                              <w:pPr>
                                <w:pStyle w:val="Style35"/>
                                <w:rPr/>
                              </w:pPr>
                              <w:r>
                                <w:rPr/>
                              </w:r>
                            </w:p>
                          </w:sdtContent>
                        </w:sdt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215.65pt;margin-top:0pt;width:6.45pt;height:13.85pt;mso-position-vertical:top">
              <w10:wrap type="none"/>
              <v:fill o:detectmouseclick="t" on="false"/>
              <v:stroke color="#3465a4" joinstyle="round" endcap="flat"/>
              <v:textbox>
                <w:txbxContent>
                  <w:sdt>
                    <w:sdtPr>
                      <w:docPartObj>
                        <w:docPartGallery w:val="Page Numbers (Top of Page)"/>
                        <w:docPartUnique w:val="true"/>
                      </w:docPartObj>
                      <w:id w:val="88072408"/>
                    </w:sdtPr>
                    <w:sdtContent>
                      <w:p>
                        <w:pPr>
                          <w:pStyle w:val="Style35"/>
                          <w:rPr/>
                        </w:pPr>
                        <w:r>
                          <w:rPr/>
                        </w:r>
                      </w:p>
                    </w:sdtContent>
                  </w:sdt>
                </w:txbxContent>
              </v:textbox>
            </v:rect>
          </w:pict>
        </mc:Fallback>
      </mc:AlternateContent>
    </w:r>
    <w:r>
      <w:rPr>
        <w:rFonts w:cs="Times New Roman" w:ascii="Times New Roman" w:hAnsi="Times New Roman"/>
      </w:rPr>
      <w:instrText> PAGE </w:instrText>
    </w:r>
    <w:r>
      <w:rPr>
        <w:rFonts w:cs="Times New Roman" w:ascii="Times New Roman" w:hAnsi="Times New Roman"/>
      </w:rPr>
      <w:fldChar w:fldCharType="separate"/>
    </w:r>
    <w:r>
      <w:rPr>
        <w:rFonts w:cs="Times New Roman" w:ascii="Times New Roman" w:hAnsi="Times New Roman"/>
      </w:rPr>
      <w:t>13</w:t>
    </w:r>
    <w:r>
      <w:rPr>
        <w:rFonts w:cs="Times New Roman" w:ascii="Times New Roman" w:hAnsi="Times New Roman"/>
      </w:rPr>
      <w:fldChar w:fldCharType="end"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430123280"/>
    </w:sdtPr>
    <w:sdtContent>
      <w:p>
        <w:pPr>
          <w:pStyle w:val="Style33"/>
          <w:jc w:val="center"/>
          <w:rPr/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16</w:t>
        </w:r>
        <w:r>
          <w:rPr>
            <w:rFonts w:cs="Times New Roman" w:ascii="Times New Roman" w:hAnsi="Times New Roman"/>
          </w:rPr>
          <w:fldChar w:fldCharType="end"/>
        </w:r>
      </w:p>
    </w:sdtContent>
  </w:sdt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888687917"/>
    </w:sdtPr>
    <w:sdtContent>
      <w:p>
        <w:pPr>
          <w:pStyle w:val="Style33"/>
          <w:jc w:val="center"/>
          <w:rPr/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4</w:t>
        </w:r>
        <w:r>
          <w:rPr>
            <w:rFonts w:cs="Times New Roman" w:ascii="Times New Roman" w:hAnsi="Times New Roman"/>
          </w:rPr>
          <w:fldChar w:fldCharType="end"/>
        </w:r>
      </w:p>
    </w:sdtContent>
  </w:sdt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415091675"/>
    </w:sdtPr>
    <w:sdtContent>
      <w:p>
        <w:pPr>
          <w:pStyle w:val="Style3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Normal"/>
          <w:spacing w:lineRule="exact" w:line="1"/>
          <w:rPr/>
        </w:pPr>
        <w:r>
          <w:rPr/>
        </w:r>
      </w:p>
    </w:sdtContent>
  </w:sdt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rPr/>
    </w:pPr>
    <w:r>
      <w:rPr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122711423"/>
    </w:sdtPr>
    <w:sdtContent>
      <w:p>
        <w:pPr>
          <w:pStyle w:val="Style33"/>
          <w:jc w:val="center"/>
          <w:rPr/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2</w:t>
        </w:r>
        <w:r>
          <w:rPr>
            <w:rFonts w:cs="Times New Roman" w:ascii="Times New Roman" w:hAnsi="Times New Roman"/>
          </w:rPr>
          <w:fldChar w:fldCharType="end"/>
        </w:r>
      </w:p>
    </w:sdtContent>
  </w:sdt>
  <w:p>
    <w:pPr>
      <w:pStyle w:val="Normal"/>
      <w:spacing w:lineRule="exact" w:line="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9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9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3"/>
      <w:numFmt w:val="decimal"/>
      <w:lvlText w:val="%1."/>
      <w:lvlJc w:val="left"/>
      <w:pPr>
        <w:ind w:left="0" w:hanging="0"/>
      </w:pPr>
    </w:lvl>
    <w:lvl w:ilvl="1">
      <w:start w:val="3"/>
      <w:numFmt w:val="decimal"/>
      <w:lvlText w:val="%1.%2.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9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4"/>
      <w:numFmt w:val="decimal"/>
      <w:lvlText w:val="%1."/>
      <w:lvlJc w:val="left"/>
      <w:pPr>
        <w:ind w:left="0" w:hanging="0"/>
      </w:pPr>
    </w:lvl>
    <w:lvl w:ilvl="1">
      <w:start w:val="1"/>
      <w:numFmt w:val="decimal"/>
      <w:lvlText w:val="%1.%2.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9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4">
    <w:lvl w:ilvl="0">
      <w:start w:val="2"/>
      <w:numFmt w:val="decimal"/>
      <w:lvlText w:val="%1."/>
      <w:lvlJc w:val="left"/>
      <w:pPr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5">
    <w:lvl w:ilvl="0">
      <w:start w:val="1"/>
      <w:numFmt w:val="decimal"/>
      <w:lvlText w:val="%1."/>
      <w:lvlJc w:val="left"/>
      <w:pPr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zCs w:val="2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6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zCs w:val="2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7">
    <w:lvl w:ilvl="0">
      <w:start w:val="1"/>
      <w:numFmt w:val="decimal"/>
      <w:lvlText w:val="%1."/>
      <w:lvlJc w:val="left"/>
      <w:pPr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zCs w:val="2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8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9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0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1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2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3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4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5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6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7">
    <w:lvl w:ilvl="0">
      <w:start w:val="1"/>
      <w:numFmt w:val="decimal"/>
      <w:lvlText w:val="%1)"/>
      <w:lvlJc w:val="left"/>
      <w:pPr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zCs w:val="16"/>
        <w:iCs w:val="false"/>
        <w:bCs w:val="false"/>
        <w:w w:val="100"/>
        <w:rFonts w:eastAsia="Times New Roman" w:cs="Times New Roman"/>
        <w:color w:val="000000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8"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120" w:hanging="720"/>
      </w:pPr>
    </w:lvl>
    <w:lvl w:ilvl="2">
      <w:start w:val="1"/>
      <w:numFmt w:val="decimal"/>
      <w:lvlText w:val="%1.%2.%3."/>
      <w:lvlJc w:val="left"/>
      <w:pPr>
        <w:ind w:left="1520" w:hanging="720"/>
      </w:pPr>
    </w:lvl>
    <w:lvl w:ilvl="3">
      <w:start w:val="1"/>
      <w:numFmt w:val="decimal"/>
      <w:lvlText w:val="%1.%2.%3.%4."/>
      <w:lvlJc w:val="left"/>
      <w:pPr>
        <w:ind w:left="2280" w:hanging="1080"/>
      </w:pPr>
    </w:lvl>
    <w:lvl w:ilvl="4">
      <w:start w:val="1"/>
      <w:numFmt w:val="decimal"/>
      <w:lvlText w:val="%1.%2.%3.%4.%5."/>
      <w:lvlJc w:val="left"/>
      <w:pPr>
        <w:ind w:left="2680" w:hanging="1080"/>
      </w:pPr>
    </w:lvl>
    <w:lvl w:ilvl="5">
      <w:start w:val="1"/>
      <w:numFmt w:val="decimal"/>
      <w:lvlText w:val="%1.%2.%3.%4.%5.%6."/>
      <w:lvlJc w:val="left"/>
      <w:pPr>
        <w:ind w:left="3440" w:hanging="1440"/>
      </w:pPr>
    </w:lvl>
    <w:lvl w:ilvl="6">
      <w:start w:val="1"/>
      <w:numFmt w:val="decimal"/>
      <w:lvlText w:val="%1.%2.%3.%4.%5.%6.%7."/>
      <w:lvlJc w:val="left"/>
      <w:pPr>
        <w:ind w:left="4200" w:hanging="1800"/>
      </w:pPr>
    </w:lvl>
    <w:lvl w:ilvl="7">
      <w:start w:val="1"/>
      <w:numFmt w:val="decimal"/>
      <w:lvlText w:val="%1.%2.%3.%4.%5.%6.%7.%8."/>
      <w:lvlJc w:val="left"/>
      <w:pPr>
        <w:ind w:left="4600" w:hanging="1800"/>
      </w:pPr>
    </w:lvl>
    <w:lvl w:ilvl="8">
      <w:start w:val="1"/>
      <w:numFmt w:val="decimal"/>
      <w:lvlText w:val="%1.%2.%3.%4.%5.%6.%7.%8.%9."/>
      <w:lvlJc w:val="left"/>
      <w:pPr>
        <w:ind w:left="5360" w:hanging="2160"/>
      </w:pPr>
    </w:lvl>
  </w:abstractNum>
  <w:abstractNum w:abstractNumId="19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c7f3a"/>
    <w:pPr>
      <w:widowControl w:val="false"/>
      <w:bidi w:val="0"/>
      <w:ind w:hanging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" w:customStyle="1">
    <w:name w:val="Основной текст (5)_"/>
    <w:basedOn w:val="DefaultParagraphFont"/>
    <w:link w:val="50"/>
    <w:qFormat/>
    <w:rsid w:val="00bc7f3a"/>
    <w:rPr>
      <w:rFonts w:eastAsia="Times New Roman"/>
      <w:sz w:val="30"/>
      <w:szCs w:val="30"/>
    </w:rPr>
  </w:style>
  <w:style w:type="character" w:styleId="Style14" w:customStyle="1">
    <w:name w:val="Основной текст_"/>
    <w:basedOn w:val="DefaultParagraphFont"/>
    <w:link w:val="1"/>
    <w:qFormat/>
    <w:rsid w:val="00bc7f3a"/>
    <w:rPr>
      <w:rFonts w:eastAsia="Times New Roman"/>
      <w:sz w:val="19"/>
      <w:szCs w:val="19"/>
    </w:rPr>
  </w:style>
  <w:style w:type="character" w:styleId="Style15" w:customStyle="1">
    <w:name w:val="Подпись к картинке_"/>
    <w:basedOn w:val="DefaultParagraphFont"/>
    <w:link w:val="a5"/>
    <w:qFormat/>
    <w:rsid w:val="00bc7f3a"/>
    <w:rPr>
      <w:rFonts w:eastAsia="Times New Roman"/>
      <w:sz w:val="19"/>
      <w:szCs w:val="19"/>
    </w:rPr>
  </w:style>
  <w:style w:type="character" w:styleId="3" w:customStyle="1">
    <w:name w:val="Основной текст (3)_"/>
    <w:basedOn w:val="DefaultParagraphFont"/>
    <w:link w:val="30"/>
    <w:qFormat/>
    <w:rsid w:val="00bc7f3a"/>
    <w:rPr>
      <w:rFonts w:eastAsia="Times New Roman"/>
      <w:sz w:val="16"/>
      <w:szCs w:val="16"/>
    </w:rPr>
  </w:style>
  <w:style w:type="character" w:styleId="2" w:customStyle="1">
    <w:name w:val="Заголовок №2_"/>
    <w:basedOn w:val="DefaultParagraphFont"/>
    <w:link w:val="20"/>
    <w:qFormat/>
    <w:rsid w:val="00bc7f3a"/>
    <w:rPr>
      <w:rFonts w:eastAsia="Times New Roman"/>
      <w:b/>
      <w:bCs/>
      <w:sz w:val="19"/>
      <w:szCs w:val="19"/>
    </w:rPr>
  </w:style>
  <w:style w:type="character" w:styleId="21" w:customStyle="1">
    <w:name w:val="Колонтитул (2)_"/>
    <w:basedOn w:val="DefaultParagraphFont"/>
    <w:link w:val="22"/>
    <w:qFormat/>
    <w:rsid w:val="00bc7f3a"/>
    <w:rPr>
      <w:rFonts w:eastAsia="Times New Roman"/>
      <w:sz w:val="20"/>
    </w:rPr>
  </w:style>
  <w:style w:type="character" w:styleId="Style16" w:customStyle="1">
    <w:name w:val="Подпись к таблице_"/>
    <w:basedOn w:val="DefaultParagraphFont"/>
    <w:link w:val="a7"/>
    <w:qFormat/>
    <w:rsid w:val="00bc7f3a"/>
    <w:rPr>
      <w:rFonts w:eastAsia="Times New Roman"/>
      <w:sz w:val="19"/>
      <w:szCs w:val="19"/>
    </w:rPr>
  </w:style>
  <w:style w:type="character" w:styleId="Style17" w:customStyle="1">
    <w:name w:val="Другое_"/>
    <w:basedOn w:val="DefaultParagraphFont"/>
    <w:link w:val="a9"/>
    <w:qFormat/>
    <w:rsid w:val="00bc7f3a"/>
    <w:rPr>
      <w:rFonts w:eastAsia="Times New Roman"/>
      <w:sz w:val="19"/>
      <w:szCs w:val="19"/>
    </w:rPr>
  </w:style>
  <w:style w:type="character" w:styleId="22" w:customStyle="1">
    <w:name w:val="Основной текст (2)_"/>
    <w:basedOn w:val="DefaultParagraphFont"/>
    <w:link w:val="24"/>
    <w:qFormat/>
    <w:rsid w:val="00bc7f3a"/>
    <w:rPr>
      <w:rFonts w:ascii="Arial" w:hAnsi="Arial" w:eastAsia="Arial" w:cs="Arial"/>
      <w:color w:val="3E7BAD"/>
      <w:sz w:val="13"/>
      <w:szCs w:val="13"/>
    </w:rPr>
  </w:style>
  <w:style w:type="character" w:styleId="Style18" w:customStyle="1">
    <w:name w:val="Колонтитул_"/>
    <w:basedOn w:val="DefaultParagraphFont"/>
    <w:link w:val="ab"/>
    <w:qFormat/>
    <w:rsid w:val="00bc7f3a"/>
    <w:rPr>
      <w:rFonts w:eastAsia="Times New Roman"/>
      <w:sz w:val="16"/>
      <w:szCs w:val="16"/>
    </w:rPr>
  </w:style>
  <w:style w:type="character" w:styleId="1" w:customStyle="1">
    <w:name w:val="Заголовок №1_"/>
    <w:basedOn w:val="DefaultParagraphFont"/>
    <w:link w:val="11"/>
    <w:qFormat/>
    <w:rsid w:val="00bc7f3a"/>
    <w:rPr>
      <w:rFonts w:eastAsia="Times New Roman"/>
      <w:smallCaps/>
    </w:rPr>
  </w:style>
  <w:style w:type="character" w:styleId="Style19" w:customStyle="1">
    <w:name w:val="Верхний колонтитул Знак"/>
    <w:basedOn w:val="DefaultParagraphFont"/>
    <w:link w:val="ac"/>
    <w:uiPriority w:val="99"/>
    <w:qFormat/>
    <w:rsid w:val="00bc7f3a"/>
    <w:rPr>
      <w:rFonts w:ascii="Arial Unicode MS" w:hAnsi="Arial Unicode MS" w:eastAsia="Arial Unicode MS" w:cs="Arial Unicode MS"/>
      <w:color w:val="000000"/>
      <w:szCs w:val="24"/>
      <w:lang w:eastAsia="ru-RU" w:bidi="ru-RU"/>
    </w:rPr>
  </w:style>
  <w:style w:type="character" w:styleId="Style20" w:customStyle="1">
    <w:name w:val="Нижний колонтитул Знак"/>
    <w:basedOn w:val="DefaultParagraphFont"/>
    <w:link w:val="ae"/>
    <w:uiPriority w:val="99"/>
    <w:qFormat/>
    <w:rsid w:val="00bc7f3a"/>
    <w:rPr>
      <w:rFonts w:ascii="Arial Unicode MS" w:hAnsi="Arial Unicode MS" w:eastAsia="Arial Unicode MS" w:cs="Arial Unicode MS"/>
      <w:color w:val="000000"/>
      <w:szCs w:val="24"/>
      <w:lang w:eastAsia="ru-RU" w:bidi="ru-RU"/>
    </w:rPr>
  </w:style>
  <w:style w:type="character" w:styleId="Style21" w:customStyle="1">
    <w:name w:val="Основной текст Знак"/>
    <w:basedOn w:val="DefaultParagraphFont"/>
    <w:link w:val="af1"/>
    <w:uiPriority w:val="99"/>
    <w:qFormat/>
    <w:rsid w:val="00bc7f3a"/>
    <w:rPr>
      <w:rFonts w:eastAsia="Arial Unicode MS"/>
      <w:color w:val="000000"/>
      <w:sz w:val="28"/>
      <w:szCs w:val="26"/>
      <w:lang w:eastAsia="ru-RU" w:bidi="ru-RU"/>
    </w:rPr>
  </w:style>
  <w:style w:type="character" w:styleId="PlaceholderText">
    <w:name w:val="Placeholder Text"/>
    <w:basedOn w:val="DefaultParagraphFont"/>
    <w:uiPriority w:val="99"/>
    <w:semiHidden/>
    <w:qFormat/>
    <w:rsid w:val="00797647"/>
    <w:rPr>
      <w:color w:val="808080"/>
    </w:rPr>
  </w:style>
  <w:style w:type="character" w:styleId="Style22" w:customStyle="1">
    <w:name w:val="Текст выноски Знак"/>
    <w:basedOn w:val="DefaultParagraphFont"/>
    <w:link w:val="af5"/>
    <w:uiPriority w:val="99"/>
    <w:semiHidden/>
    <w:qFormat/>
    <w:rsid w:val="00aa5282"/>
    <w:rPr>
      <w:rFonts w:ascii="Segoe UI" w:hAnsi="Segoe UI" w:eastAsia="Arial Unicode MS" w:cs="Segoe UI"/>
      <w:color w:val="000000"/>
      <w:sz w:val="18"/>
      <w:szCs w:val="18"/>
      <w:lang w:eastAsia="ru-RU" w:bidi="ru-RU"/>
    </w:rPr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24">
    <w:name w:val="Body Text"/>
    <w:basedOn w:val="Normal"/>
    <w:link w:val="af2"/>
    <w:uiPriority w:val="99"/>
    <w:unhideWhenUsed/>
    <w:rsid w:val="00bc7f3a"/>
    <w:pPr/>
    <w:rPr>
      <w:rFonts w:ascii="Times New Roman" w:hAnsi="Times New Roman" w:cs="Times New Roman"/>
      <w:sz w:val="28"/>
      <w:szCs w:val="26"/>
    </w:rPr>
  </w:style>
  <w:style w:type="paragraph" w:styleId="Style25">
    <w:name w:val="List"/>
    <w:basedOn w:val="Style24"/>
    <w:pPr/>
    <w:rPr>
      <w:rFonts w:cs="Droid Sans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Droid Sans Devanagari"/>
    </w:rPr>
  </w:style>
  <w:style w:type="paragraph" w:styleId="51" w:customStyle="1">
    <w:name w:val="Основной текст (5)"/>
    <w:basedOn w:val="Normal"/>
    <w:link w:val="5"/>
    <w:qFormat/>
    <w:rsid w:val="00bc7f3a"/>
    <w:pPr/>
    <w:rPr>
      <w:rFonts w:ascii="Times New Roman" w:hAnsi="Times New Roman" w:eastAsia="Times New Roman" w:cs="Times New Roman"/>
      <w:color w:val="auto"/>
      <w:sz w:val="30"/>
      <w:szCs w:val="30"/>
      <w:lang w:eastAsia="en-US" w:bidi="ar-SA"/>
    </w:rPr>
  </w:style>
  <w:style w:type="paragraph" w:styleId="11" w:customStyle="1">
    <w:name w:val="Основной текст1"/>
    <w:basedOn w:val="Normal"/>
    <w:link w:val="a3"/>
    <w:qFormat/>
    <w:rsid w:val="00bc7f3a"/>
    <w:pPr>
      <w:ind w:firstLine="400"/>
    </w:pPr>
    <w:rPr>
      <w:rFonts w:ascii="Times New Roman" w:hAnsi="Times New Roman" w:eastAsia="Times New Roman" w:cs="Times New Roman"/>
      <w:color w:val="auto"/>
      <w:sz w:val="19"/>
      <w:szCs w:val="19"/>
      <w:lang w:eastAsia="en-US" w:bidi="ar-SA"/>
    </w:rPr>
  </w:style>
  <w:style w:type="paragraph" w:styleId="Style28" w:customStyle="1">
    <w:name w:val="Подпись к картинке"/>
    <w:basedOn w:val="Normal"/>
    <w:link w:val="a4"/>
    <w:qFormat/>
    <w:rsid w:val="00bc7f3a"/>
    <w:pPr/>
    <w:rPr>
      <w:rFonts w:ascii="Times New Roman" w:hAnsi="Times New Roman" w:eastAsia="Times New Roman" w:cs="Times New Roman"/>
      <w:color w:val="auto"/>
      <w:sz w:val="19"/>
      <w:szCs w:val="19"/>
      <w:lang w:eastAsia="en-US" w:bidi="ar-SA"/>
    </w:rPr>
  </w:style>
  <w:style w:type="paragraph" w:styleId="31" w:customStyle="1">
    <w:name w:val="Основной текст (3)"/>
    <w:basedOn w:val="Normal"/>
    <w:link w:val="3"/>
    <w:qFormat/>
    <w:rsid w:val="00bc7f3a"/>
    <w:pPr>
      <w:spacing w:before="40" w:after="180"/>
      <w:jc w:val="center"/>
    </w:pPr>
    <w:rPr>
      <w:rFonts w:ascii="Times New Roman" w:hAnsi="Times New Roman" w:eastAsia="Times New Roman" w:cs="Times New Roman"/>
      <w:color w:val="auto"/>
      <w:sz w:val="16"/>
      <w:szCs w:val="16"/>
      <w:lang w:eastAsia="en-US" w:bidi="ar-SA"/>
    </w:rPr>
  </w:style>
  <w:style w:type="paragraph" w:styleId="23" w:customStyle="1">
    <w:name w:val="Заголовок №2"/>
    <w:basedOn w:val="Normal"/>
    <w:link w:val="2"/>
    <w:qFormat/>
    <w:rsid w:val="00bc7f3a"/>
    <w:pPr>
      <w:spacing w:before="0" w:after="210"/>
      <w:jc w:val="center"/>
      <w:outlineLvl w:val="1"/>
    </w:pPr>
    <w:rPr>
      <w:rFonts w:ascii="Times New Roman" w:hAnsi="Times New Roman" w:eastAsia="Times New Roman" w:cs="Times New Roman"/>
      <w:b/>
      <w:bCs/>
      <w:color w:val="auto"/>
      <w:sz w:val="19"/>
      <w:szCs w:val="19"/>
      <w:lang w:eastAsia="en-US" w:bidi="ar-SA"/>
    </w:rPr>
  </w:style>
  <w:style w:type="paragraph" w:styleId="24" w:customStyle="1">
    <w:name w:val="Колонтитул (2)"/>
    <w:basedOn w:val="Normal"/>
    <w:link w:val="21"/>
    <w:qFormat/>
    <w:rsid w:val="00bc7f3a"/>
    <w:pPr/>
    <w:rPr>
      <w:rFonts w:ascii="Times New Roman" w:hAnsi="Times New Roman" w:eastAsia="Times New Roman" w:cs="Times New Roman"/>
      <w:color w:val="auto"/>
      <w:sz w:val="20"/>
      <w:szCs w:val="20"/>
      <w:lang w:eastAsia="en-US" w:bidi="ar-SA"/>
    </w:rPr>
  </w:style>
  <w:style w:type="paragraph" w:styleId="Style29" w:customStyle="1">
    <w:name w:val="Подпись к таблице"/>
    <w:basedOn w:val="Normal"/>
    <w:link w:val="a6"/>
    <w:qFormat/>
    <w:rsid w:val="00bc7f3a"/>
    <w:pPr>
      <w:spacing w:lineRule="auto" w:line="252"/>
    </w:pPr>
    <w:rPr>
      <w:rFonts w:ascii="Times New Roman" w:hAnsi="Times New Roman" w:eastAsia="Times New Roman" w:cs="Times New Roman"/>
      <w:color w:val="auto"/>
      <w:sz w:val="19"/>
      <w:szCs w:val="19"/>
      <w:lang w:eastAsia="en-US" w:bidi="ar-SA"/>
    </w:rPr>
  </w:style>
  <w:style w:type="paragraph" w:styleId="Style30" w:customStyle="1">
    <w:name w:val="Другое"/>
    <w:basedOn w:val="Normal"/>
    <w:link w:val="a8"/>
    <w:qFormat/>
    <w:rsid w:val="00bc7f3a"/>
    <w:pPr>
      <w:ind w:firstLine="400"/>
    </w:pPr>
    <w:rPr>
      <w:rFonts w:ascii="Times New Roman" w:hAnsi="Times New Roman" w:eastAsia="Times New Roman" w:cs="Times New Roman"/>
      <w:color w:val="auto"/>
      <w:sz w:val="19"/>
      <w:szCs w:val="19"/>
      <w:lang w:eastAsia="en-US" w:bidi="ar-SA"/>
    </w:rPr>
  </w:style>
  <w:style w:type="paragraph" w:styleId="25" w:customStyle="1">
    <w:name w:val="Основной текст (2)"/>
    <w:basedOn w:val="Normal"/>
    <w:link w:val="23"/>
    <w:qFormat/>
    <w:rsid w:val="00bc7f3a"/>
    <w:pPr>
      <w:spacing w:lineRule="auto" w:line="312" w:before="0" w:after="300"/>
    </w:pPr>
    <w:rPr>
      <w:rFonts w:ascii="Arial" w:hAnsi="Arial" w:eastAsia="Arial" w:cs="Arial"/>
      <w:color w:val="3E7BAD"/>
      <w:sz w:val="13"/>
      <w:szCs w:val="13"/>
      <w:lang w:eastAsia="en-US" w:bidi="ar-SA"/>
    </w:rPr>
  </w:style>
  <w:style w:type="paragraph" w:styleId="Style31" w:customStyle="1">
    <w:name w:val="Колонтитул"/>
    <w:basedOn w:val="Normal"/>
    <w:link w:val="aa"/>
    <w:qFormat/>
    <w:rsid w:val="00bc7f3a"/>
    <w:pPr/>
    <w:rPr>
      <w:rFonts w:ascii="Times New Roman" w:hAnsi="Times New Roman" w:eastAsia="Times New Roman" w:cs="Times New Roman"/>
      <w:color w:val="auto"/>
      <w:sz w:val="16"/>
      <w:szCs w:val="16"/>
      <w:lang w:eastAsia="en-US" w:bidi="ar-SA"/>
    </w:rPr>
  </w:style>
  <w:style w:type="paragraph" w:styleId="12" w:customStyle="1">
    <w:name w:val="Заголовок №1"/>
    <w:basedOn w:val="Normal"/>
    <w:link w:val="10"/>
    <w:qFormat/>
    <w:rsid w:val="00bc7f3a"/>
    <w:pPr>
      <w:jc w:val="center"/>
      <w:outlineLvl w:val="0"/>
    </w:pPr>
    <w:rPr>
      <w:rFonts w:ascii="Times New Roman" w:hAnsi="Times New Roman" w:eastAsia="Times New Roman" w:cs="Times New Roman"/>
      <w:smallCaps/>
      <w:color w:val="auto"/>
      <w:szCs w:val="20"/>
      <w:lang w:eastAsia="en-US" w:bidi="ar-SA"/>
    </w:rPr>
  </w:style>
  <w:style w:type="paragraph" w:styleId="Style32">
    <w:name w:val="Верхний и нижний колонтитулы"/>
    <w:basedOn w:val="Normal"/>
    <w:qFormat/>
    <w:pPr/>
    <w:rPr/>
  </w:style>
  <w:style w:type="paragraph" w:styleId="Style33">
    <w:name w:val="Header"/>
    <w:basedOn w:val="Normal"/>
    <w:link w:val="ad"/>
    <w:uiPriority w:val="99"/>
    <w:unhideWhenUsed/>
    <w:rsid w:val="00bc7f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4">
    <w:name w:val="Footer"/>
    <w:basedOn w:val="Normal"/>
    <w:link w:val="af"/>
    <w:uiPriority w:val="99"/>
    <w:unhideWhenUsed/>
    <w:rsid w:val="00bc7f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f6"/>
    <w:uiPriority w:val="99"/>
    <w:semiHidden/>
    <w:unhideWhenUsed/>
    <w:qFormat/>
    <w:rsid w:val="00aa5282"/>
    <w:pPr/>
    <w:rPr>
      <w:rFonts w:ascii="Segoe UI" w:hAnsi="Segoe UI" w:cs="Segoe UI"/>
      <w:sz w:val="18"/>
      <w:szCs w:val="18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39"/>
    <w:rsid w:val="00bc7f3a"/>
    <w:pPr>
      <w:jc w:val="left"/>
    </w:pPr>
    <w:rPr>
      <w:lang w:eastAsia="ru-RU" w:bidi="ru-RU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4">
    <w:name w:val="Grid Table Light"/>
    <w:basedOn w:val="a1"/>
    <w:uiPriority w:val="40"/>
    <w:rsid w:val="003803f8"/>
    <w:tblPr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header" Target="header7.xml"/><Relationship Id="rId15" Type="http://schemas.openxmlformats.org/officeDocument/2006/relationships/header" Target="header8.xml"/><Relationship Id="rId16" Type="http://schemas.openxmlformats.org/officeDocument/2006/relationships/footer" Target="footer7.xml"/><Relationship Id="rId17" Type="http://schemas.openxmlformats.org/officeDocument/2006/relationships/footer" Target="footer8.xml"/><Relationship Id="rId18" Type="http://schemas.openxmlformats.org/officeDocument/2006/relationships/header" Target="header9.xml"/><Relationship Id="rId19" Type="http://schemas.openxmlformats.org/officeDocument/2006/relationships/header" Target="header10.xml"/><Relationship Id="rId20" Type="http://schemas.openxmlformats.org/officeDocument/2006/relationships/footer" Target="footer9.xml"/><Relationship Id="rId21" Type="http://schemas.openxmlformats.org/officeDocument/2006/relationships/footer" Target="footer10.xml"/><Relationship Id="rId22" Type="http://schemas.openxmlformats.org/officeDocument/2006/relationships/numbering" Target="numbering.xml"/><Relationship Id="rId23" Type="http://schemas.openxmlformats.org/officeDocument/2006/relationships/fontTable" Target="fontTable.xml"/><Relationship Id="rId24" Type="http://schemas.openxmlformats.org/officeDocument/2006/relationships/settings" Target="settings.xml"/><Relationship Id="rId25" Type="http://schemas.openxmlformats.org/officeDocument/2006/relationships/theme" Target="theme/theme1.xml"/><Relationship Id="rId2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014E2CCF-1DCE-4690-BA31-056BCF73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Application>LibreOffice/6.3.0.4$Linux_X86_64 LibreOffice_project/057fc023c990d676a43019934386b85b21a9ee99</Application>
  <Pages>40</Pages>
  <Words>6119</Words>
  <Characters>50332</Characters>
  <CharactersWithSpaces>56242</CharactersWithSpaces>
  <Paragraphs>516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2024-04-16T14:09:00Z</dcterms:created>
  <dc:creator>Алексей Архипов</dc:creator>
  <dc:description/>
  <dc:language>en-US</dc:language>
  <cp:lastModifiedBy/>
  <cp:lastPrinted>2025-02-13T14:30:03Z</cp:lastPrinted>
  <dcterms:modified xsi:type="dcterms:W3CDTF">2025-02-13T16:03:36Z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